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5B003">
      <w:pPr>
        <w:pStyle w:val="20"/>
        <w:jc w:val="both"/>
        <w:rPr>
          <w:sz w:val="25"/>
          <w:szCs w:val="25"/>
        </w:rPr>
      </w:pPr>
      <w:bookmarkStart w:id="3" w:name="_GoBack"/>
      <w:bookmarkEnd w:id="3"/>
    </w:p>
    <w:p w14:paraId="1EDFD87A">
      <w:pPr>
        <w:pStyle w:val="20"/>
        <w:ind w:left="6160" w:leftChars="2200" w:firstLine="0" w:firstLineChars="0"/>
        <w:jc w:val="left"/>
        <w:rPr>
          <w:sz w:val="24"/>
          <w:szCs w:val="24"/>
        </w:rPr>
      </w:pPr>
      <w:r>
        <w:rPr>
          <w:sz w:val="24"/>
          <w:szCs w:val="24"/>
        </w:rPr>
        <w:t xml:space="preserve">Приложение </w:t>
      </w:r>
    </w:p>
    <w:p w14:paraId="4F9BB260">
      <w:pPr>
        <w:pStyle w:val="20"/>
        <w:ind w:left="6160" w:leftChars="2200" w:firstLine="0" w:firstLineChars="0"/>
        <w:jc w:val="left"/>
        <w:rPr>
          <w:sz w:val="24"/>
          <w:szCs w:val="24"/>
        </w:rPr>
      </w:pPr>
      <w:r>
        <w:rPr>
          <w:sz w:val="24"/>
          <w:szCs w:val="24"/>
        </w:rPr>
        <w:t xml:space="preserve">к распоряжению администрации </w:t>
      </w:r>
    </w:p>
    <w:p w14:paraId="183DEDFD">
      <w:pPr>
        <w:pStyle w:val="20"/>
        <w:ind w:left="6160" w:leftChars="2200" w:firstLine="0" w:firstLineChars="0"/>
        <w:jc w:val="left"/>
        <w:rPr>
          <w:sz w:val="24"/>
          <w:szCs w:val="24"/>
        </w:rPr>
      </w:pPr>
      <w:r>
        <w:rPr>
          <w:sz w:val="24"/>
          <w:szCs w:val="24"/>
          <w:lang w:val="ru-RU"/>
        </w:rPr>
        <w:t>муниципального</w:t>
      </w:r>
      <w:r>
        <w:rPr>
          <w:rFonts w:hint="default"/>
          <w:sz w:val="24"/>
          <w:szCs w:val="24"/>
          <w:lang w:val="ru-RU"/>
        </w:rPr>
        <w:t xml:space="preserve"> округа </w:t>
      </w:r>
      <w:r>
        <w:rPr>
          <w:sz w:val="24"/>
          <w:szCs w:val="24"/>
        </w:rPr>
        <w:t xml:space="preserve">Останкинский </w:t>
      </w:r>
    </w:p>
    <w:p w14:paraId="7A9D979E">
      <w:pPr>
        <w:pStyle w:val="20"/>
        <w:ind w:left="6160" w:leftChars="2200" w:firstLine="0" w:firstLineChars="0"/>
        <w:jc w:val="left"/>
        <w:rPr>
          <w:sz w:val="24"/>
          <w:szCs w:val="24"/>
        </w:rPr>
      </w:pPr>
      <w:r>
        <w:rPr>
          <w:sz w:val="24"/>
          <w:szCs w:val="24"/>
        </w:rPr>
        <w:t>от 09.01.2024</w:t>
      </w:r>
      <w:r>
        <w:rPr>
          <w:rFonts w:hint="default"/>
          <w:sz w:val="24"/>
          <w:szCs w:val="24"/>
          <w:lang w:val="ru-RU"/>
        </w:rPr>
        <w:t xml:space="preserve"> </w:t>
      </w:r>
      <w:r>
        <w:rPr>
          <w:sz w:val="24"/>
          <w:szCs w:val="24"/>
        </w:rPr>
        <w:t xml:space="preserve">№ 1-МБ </w:t>
      </w:r>
    </w:p>
    <w:p w14:paraId="354EBD69">
      <w:pPr>
        <w:pStyle w:val="20"/>
        <w:jc w:val="right"/>
        <w:rPr>
          <w:sz w:val="24"/>
          <w:szCs w:val="24"/>
        </w:rPr>
      </w:pPr>
      <w:r>
        <w:rPr>
          <w:sz w:val="24"/>
          <w:szCs w:val="24"/>
        </w:rPr>
        <w:t xml:space="preserve">                                                                                                </w:t>
      </w:r>
    </w:p>
    <w:p w14:paraId="503E7F77">
      <w:pPr>
        <w:pStyle w:val="20"/>
        <w:jc w:val="center"/>
        <w:rPr>
          <w:b/>
          <w:sz w:val="25"/>
          <w:szCs w:val="25"/>
        </w:rPr>
      </w:pPr>
      <w:r>
        <w:rPr>
          <w:b/>
          <w:sz w:val="25"/>
          <w:szCs w:val="25"/>
        </w:rPr>
        <w:t>Об учетной политике администрации муниципального округа Останкинский</w:t>
      </w:r>
    </w:p>
    <w:p w14:paraId="1909B1CF">
      <w:pPr>
        <w:pStyle w:val="20"/>
        <w:jc w:val="center"/>
        <w:rPr>
          <w:rFonts w:hint="default"/>
          <w:b w:val="0"/>
          <w:bCs/>
          <w:sz w:val="25"/>
          <w:szCs w:val="25"/>
          <w:lang w:val="ru-RU"/>
        </w:rPr>
      </w:pPr>
      <w:r>
        <w:rPr>
          <w:rFonts w:hint="default"/>
          <w:b w:val="0"/>
          <w:bCs/>
          <w:sz w:val="25"/>
          <w:szCs w:val="25"/>
          <w:lang w:val="ru-RU"/>
        </w:rPr>
        <w:t>(выдержки)</w:t>
      </w:r>
    </w:p>
    <w:p w14:paraId="5C978BF9">
      <w:pPr>
        <w:pStyle w:val="20"/>
        <w:jc w:val="both"/>
        <w:rPr>
          <w:sz w:val="25"/>
          <w:szCs w:val="25"/>
        </w:rPr>
      </w:pPr>
    </w:p>
    <w:p w14:paraId="38277B02">
      <w:pPr>
        <w:pStyle w:val="20"/>
        <w:jc w:val="center"/>
        <w:rPr>
          <w:sz w:val="25"/>
          <w:szCs w:val="25"/>
        </w:rPr>
      </w:pPr>
      <w:r>
        <w:rPr>
          <w:b/>
          <w:sz w:val="25"/>
          <w:szCs w:val="25"/>
        </w:rPr>
        <w:t>1. Общие положения</w:t>
      </w:r>
    </w:p>
    <w:p w14:paraId="219BE98E">
      <w:pPr>
        <w:pStyle w:val="20"/>
        <w:jc w:val="both"/>
        <w:rPr>
          <w:sz w:val="16"/>
          <w:szCs w:val="16"/>
        </w:rPr>
      </w:pPr>
    </w:p>
    <w:p w14:paraId="7690CD55">
      <w:pPr>
        <w:pStyle w:val="20"/>
        <w:ind w:firstLine="567"/>
        <w:jc w:val="both"/>
        <w:rPr>
          <w:sz w:val="25"/>
          <w:szCs w:val="25"/>
        </w:rPr>
      </w:pPr>
      <w:r>
        <w:rPr>
          <w:sz w:val="25"/>
          <w:szCs w:val="25"/>
        </w:rPr>
        <w:t xml:space="preserve"> 1.1. Настоящие правила организации и ведения бюджетного учета                                          по осуществлению функций финансового органа, главного распорядителя бюджетных средств, главного администратора доходов, и получателя средств бюджета муниципального округа Останкинский (далее – Правила) разработаны на основании Федерального закона от 6 декабря 2011 г. № 402-ФЗ «О бухгалтерском учете», приказами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(с учетом внесенных изменений и дополнений), от 06.12.2010г. № 162н «Об утверждении плана счетов бюджетного учета и инструкции по его применению», от 31.12.2016 № 256н «Концептуальные основы бухгалтерского учета и отчетности организаций государственного сектора», от 31.12.2016 № 257н «Основные средства», от 31.12.2016 № 258н «Аренда», от 31.12.2016 № 259н «Обесценение активов», от 31.12.2016 № 260н «Представление бухгалтерской (финансовой) отчетности», от 30.12.2017 № 274н «Учетная политика, оценочные значения и ошибки»;   от 30.12.2017 № 275н «События после отчетной даты»; от 30.12.2017 № 277н «Информация о связанных сторонах»; от 30.12.2017 № 278н «Отчет о движении денежных средств»; от 27.02.2018 № 32н «Доходы»; от 28.02.2018 № 34н «Непроизведенные активы»; от 28.02.2018 № 37н «Бюджетная информация в бухгалтерской (финансовой) отчетности»; от 07.12.2018 № 256н «Запасы»; от 29.06.2018 №145н «Долгосрочные договоры»; от 30.05.2018 № 124н «Резервы. Раскрытие информации   об условных обязательствах и условных активов»; от 15.11.2019 №184н «Выплаты персоналу» и предназначены для формирования полной и достоверной информации о финансовом, имущественном положении и финансовых результатах деятельности администрации муниципального округа Останкинский.</w:t>
      </w:r>
    </w:p>
    <w:p w14:paraId="7593C5DA">
      <w:pPr>
        <w:pStyle w:val="20"/>
        <w:ind w:firstLine="567"/>
        <w:jc w:val="both"/>
        <w:rPr>
          <w:sz w:val="25"/>
          <w:szCs w:val="25"/>
        </w:rPr>
      </w:pPr>
      <w:r>
        <w:rPr>
          <w:sz w:val="25"/>
          <w:szCs w:val="25"/>
        </w:rPr>
        <w:t>1.2. При организации бюджетного учета используются следующие нормативные акты:</w:t>
      </w:r>
    </w:p>
    <w:p w14:paraId="605D4895">
      <w:pPr>
        <w:pStyle w:val="20"/>
        <w:ind w:firstLine="567"/>
        <w:jc w:val="both"/>
        <w:rPr>
          <w:sz w:val="25"/>
          <w:szCs w:val="25"/>
        </w:rPr>
      </w:pPr>
      <w:r>
        <w:rPr>
          <w:sz w:val="25"/>
          <w:szCs w:val="25"/>
        </w:rPr>
        <w:t>Бюджетный кодекс Российской Федерации от 31 июля 1998г. № 145-ФЗ;</w:t>
      </w:r>
    </w:p>
    <w:p w14:paraId="6FA0888F">
      <w:pPr>
        <w:pStyle w:val="20"/>
        <w:ind w:firstLine="567"/>
        <w:jc w:val="both"/>
        <w:rPr>
          <w:sz w:val="25"/>
          <w:szCs w:val="25"/>
        </w:rPr>
      </w:pPr>
      <w:r>
        <w:rPr>
          <w:sz w:val="25"/>
          <w:szCs w:val="25"/>
        </w:rPr>
        <w:t>Налоговый кодекс Российской Федерации ч.</w:t>
      </w:r>
      <w:r>
        <w:rPr>
          <w:sz w:val="25"/>
          <w:szCs w:val="25"/>
          <w:lang w:val="en-US"/>
        </w:rPr>
        <w:t>I</w:t>
      </w:r>
      <w:r>
        <w:rPr>
          <w:sz w:val="25"/>
          <w:szCs w:val="25"/>
        </w:rPr>
        <w:t xml:space="preserve"> от 31 июля 1998г.  № 146-ФЗ с учетом внесенных изменений и дополнений и ч.</w:t>
      </w:r>
      <w:r>
        <w:rPr>
          <w:sz w:val="25"/>
          <w:szCs w:val="25"/>
          <w:lang w:val="en-US"/>
        </w:rPr>
        <w:t>II</w:t>
      </w:r>
      <w:r>
        <w:rPr>
          <w:sz w:val="25"/>
          <w:szCs w:val="25"/>
        </w:rPr>
        <w:t xml:space="preserve"> от 5 августа 2000 г. № 117-ФЗ с учетом внесенных изменений и дополнений;</w:t>
      </w:r>
    </w:p>
    <w:p w14:paraId="3E9605BD">
      <w:pPr>
        <w:pStyle w:val="20"/>
        <w:ind w:firstLine="567"/>
        <w:jc w:val="both"/>
        <w:rPr>
          <w:sz w:val="25"/>
          <w:szCs w:val="25"/>
        </w:rPr>
      </w:pPr>
      <w:r>
        <w:rPr>
          <w:sz w:val="25"/>
          <w:szCs w:val="25"/>
        </w:rPr>
        <w:t>Федеральный закон от 6 декабря 201 1г. № 402-ФЗ «О бухгалтерском учете» (далее – Федеральный закон № 402-ФЗ);</w:t>
      </w:r>
    </w:p>
    <w:p w14:paraId="1E6D2495">
      <w:pPr>
        <w:pStyle w:val="20"/>
        <w:ind w:firstLine="567"/>
        <w:jc w:val="both"/>
        <w:rPr>
          <w:sz w:val="25"/>
          <w:szCs w:val="25"/>
        </w:rPr>
      </w:pPr>
      <w:r>
        <w:rPr>
          <w:sz w:val="25"/>
          <w:szCs w:val="25"/>
        </w:rPr>
        <w:t>Постановление Правительства Российской Федерации от 1 января 2002 г. № 1                     «О классификации основных средств, включаемых в амортизационные группы»                        с учетом изменений и дополнений;</w:t>
      </w:r>
    </w:p>
    <w:p w14:paraId="4BE7B5CD">
      <w:pPr>
        <w:pStyle w:val="20"/>
        <w:ind w:firstLine="567"/>
        <w:jc w:val="both"/>
        <w:rPr>
          <w:sz w:val="25"/>
          <w:szCs w:val="25"/>
        </w:rPr>
      </w:pPr>
      <w:r>
        <w:rPr>
          <w:sz w:val="25"/>
          <w:szCs w:val="25"/>
        </w:rPr>
        <w:t>Общероссийский классификатор основных средств (ОКОФ) ОК 013-2014 (СНС 2008), утвержденный приказом Федерального агентства по техническому регулированию и метрологии от 12.12.2014 № 2018-ст (далее - ОКОФ);</w:t>
      </w:r>
    </w:p>
    <w:p w14:paraId="6A712EBD">
      <w:pPr>
        <w:pStyle w:val="20"/>
        <w:ind w:firstLine="567"/>
        <w:jc w:val="both"/>
        <w:rPr>
          <w:sz w:val="25"/>
          <w:szCs w:val="25"/>
        </w:rPr>
      </w:pPr>
      <w:r>
        <w:rPr>
          <w:sz w:val="25"/>
          <w:szCs w:val="25"/>
        </w:rPr>
        <w:t>Указы Мэра Москвы; Постановления Правительства Москвы;</w:t>
      </w:r>
    </w:p>
    <w:p w14:paraId="7FE6234A">
      <w:pPr>
        <w:pStyle w:val="20"/>
        <w:ind w:firstLine="567"/>
        <w:jc w:val="both"/>
        <w:rPr>
          <w:sz w:val="25"/>
          <w:szCs w:val="25"/>
        </w:rPr>
      </w:pPr>
      <w:r>
        <w:rPr>
          <w:sz w:val="25"/>
          <w:szCs w:val="25"/>
        </w:rPr>
        <w:t xml:space="preserve"> Распоряжения Правительства Москвы;</w:t>
      </w:r>
    </w:p>
    <w:p w14:paraId="0B3E6174">
      <w:pPr>
        <w:pStyle w:val="20"/>
        <w:ind w:firstLine="567"/>
        <w:jc w:val="both"/>
        <w:rPr>
          <w:sz w:val="25"/>
          <w:szCs w:val="25"/>
        </w:rPr>
      </w:pPr>
      <w:r>
        <w:rPr>
          <w:sz w:val="25"/>
          <w:szCs w:val="25"/>
        </w:rPr>
        <w:t xml:space="preserve"> Приказ Минфина России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 157н)4</w:t>
      </w:r>
    </w:p>
    <w:p w14:paraId="7550F785">
      <w:pPr>
        <w:pStyle w:val="20"/>
        <w:ind w:firstLine="567"/>
        <w:jc w:val="both"/>
        <w:rPr>
          <w:sz w:val="25"/>
          <w:szCs w:val="25"/>
        </w:rPr>
      </w:pPr>
      <w:r>
        <w:rPr>
          <w:sz w:val="25"/>
          <w:szCs w:val="25"/>
        </w:rPr>
        <w:t xml:space="preserve"> Приказ Минфина России от 6 декабря 2010г. № 162н «Об утверждении плана счетов бюджетного учета и инструкции по его применению» (далее – Инструкция   № 162н);</w:t>
      </w:r>
    </w:p>
    <w:p w14:paraId="10911C15">
      <w:pPr>
        <w:pStyle w:val="20"/>
        <w:ind w:firstLine="567"/>
        <w:jc w:val="both"/>
        <w:rPr>
          <w:sz w:val="25"/>
          <w:szCs w:val="25"/>
        </w:rPr>
      </w:pPr>
      <w:r>
        <w:rPr>
          <w:sz w:val="25"/>
          <w:szCs w:val="25"/>
        </w:rPr>
        <w:t xml:space="preserve"> Приказ Минфина России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ФСБУ № 256н);</w:t>
      </w:r>
    </w:p>
    <w:p w14:paraId="4EF46F8E">
      <w:pPr>
        <w:pStyle w:val="20"/>
        <w:ind w:firstLine="567"/>
        <w:jc w:val="both"/>
        <w:rPr>
          <w:sz w:val="25"/>
          <w:szCs w:val="25"/>
        </w:rPr>
      </w:pPr>
      <w:r>
        <w:rPr>
          <w:sz w:val="25"/>
          <w:szCs w:val="25"/>
        </w:rPr>
        <w:t xml:space="preserve"> Приказ Минфина России от 31.12.2016 № 257н «Об утверждении федерального стандарта бухгалтерского учета для организаций государственного сектора «Основные средства» (далее – ФСБУ № 257н);</w:t>
      </w:r>
    </w:p>
    <w:p w14:paraId="4C4D7D38">
      <w:pPr>
        <w:pStyle w:val="20"/>
        <w:ind w:firstLine="567"/>
        <w:jc w:val="both"/>
        <w:rPr>
          <w:sz w:val="25"/>
          <w:szCs w:val="25"/>
        </w:rPr>
      </w:pPr>
      <w:r>
        <w:rPr>
          <w:sz w:val="25"/>
          <w:szCs w:val="25"/>
        </w:rPr>
        <w:t xml:space="preserve"> Приказ Минфина России от 31.12.2016 № 258н «Об утверждении федерального стандарта бухгалтерского учета для организаций государственного сектора «Аренда» (далее – ФСБУ № 258н);</w:t>
      </w:r>
    </w:p>
    <w:p w14:paraId="50009E08">
      <w:pPr>
        <w:pStyle w:val="20"/>
        <w:ind w:firstLine="567"/>
        <w:jc w:val="both"/>
        <w:rPr>
          <w:sz w:val="25"/>
          <w:szCs w:val="25"/>
        </w:rPr>
      </w:pPr>
      <w:r>
        <w:rPr>
          <w:sz w:val="25"/>
          <w:szCs w:val="25"/>
        </w:rPr>
        <w:t>Приказ Минфина России от 31.12.2016 № 259н «Об утверждении федерального стандарта бухгалтерского учета для организаций государственного сектора «Обесценение активов» (далее – ФСБУ № 259н);</w:t>
      </w:r>
    </w:p>
    <w:p w14:paraId="46917934">
      <w:pPr>
        <w:pStyle w:val="20"/>
        <w:ind w:firstLine="567"/>
        <w:jc w:val="both"/>
        <w:rPr>
          <w:sz w:val="25"/>
          <w:szCs w:val="25"/>
        </w:rPr>
      </w:pPr>
      <w:r>
        <w:rPr>
          <w:sz w:val="25"/>
          <w:szCs w:val="25"/>
        </w:rPr>
        <w:t xml:space="preserve"> Приказ Минфина России от 31.12.2016 №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ФСБУ № 260н);</w:t>
      </w:r>
    </w:p>
    <w:p w14:paraId="10EEBB70">
      <w:pPr>
        <w:pStyle w:val="20"/>
        <w:ind w:firstLine="567"/>
        <w:jc w:val="both"/>
        <w:rPr>
          <w:sz w:val="25"/>
          <w:szCs w:val="25"/>
        </w:rPr>
      </w:pPr>
      <w:r>
        <w:rPr>
          <w:sz w:val="25"/>
          <w:szCs w:val="25"/>
        </w:rPr>
        <w:t xml:space="preserve"> Приказ Минфина России от 30.12.2017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ФСБУ № 274н);</w:t>
      </w:r>
    </w:p>
    <w:p w14:paraId="0DE56C71">
      <w:pPr>
        <w:pStyle w:val="20"/>
        <w:ind w:firstLine="567"/>
        <w:jc w:val="both"/>
        <w:rPr>
          <w:sz w:val="25"/>
          <w:szCs w:val="25"/>
        </w:rPr>
      </w:pPr>
      <w:r>
        <w:rPr>
          <w:sz w:val="25"/>
          <w:szCs w:val="25"/>
        </w:rPr>
        <w:t>Приказ Минфина России от 30.12.2017 № 275н «Об утверждении федерального стандарта бухгалтерского учета для организаций государственного сектора «События после отчетной даты» (далее – ФСБУ № 275н);</w:t>
      </w:r>
    </w:p>
    <w:p w14:paraId="34DC28AD">
      <w:pPr>
        <w:pStyle w:val="20"/>
        <w:ind w:firstLine="567"/>
        <w:jc w:val="both"/>
        <w:rPr>
          <w:sz w:val="25"/>
          <w:szCs w:val="25"/>
        </w:rPr>
      </w:pPr>
      <w:r>
        <w:rPr>
          <w:sz w:val="25"/>
          <w:szCs w:val="25"/>
        </w:rPr>
        <w:t>Приказ Минфина России от 30.12.2017 № 277н «Об утверждении федерального стандарта бухгалтерского учета для организаций государственного сектора «Информация о связанных сторонах» (далее – ФСБУ № 277н);</w:t>
      </w:r>
    </w:p>
    <w:p w14:paraId="7F956AA2">
      <w:pPr>
        <w:pStyle w:val="20"/>
        <w:ind w:firstLine="567"/>
        <w:jc w:val="both"/>
        <w:rPr>
          <w:sz w:val="25"/>
          <w:szCs w:val="25"/>
        </w:rPr>
      </w:pPr>
      <w:r>
        <w:rPr>
          <w:sz w:val="25"/>
          <w:szCs w:val="25"/>
        </w:rPr>
        <w:t>Приказ Минфина России от 30.12.2017 № 278н «Об утверждении федерального стандарта бухгалтерского учета для организаций государственного сектора «Отчет                    о движении денежных средств» (далее – ФСБУ № 278н);</w:t>
      </w:r>
    </w:p>
    <w:p w14:paraId="65CF5EF7">
      <w:pPr>
        <w:pStyle w:val="20"/>
        <w:ind w:firstLine="567"/>
        <w:jc w:val="both"/>
        <w:rPr>
          <w:sz w:val="25"/>
          <w:szCs w:val="25"/>
        </w:rPr>
      </w:pPr>
      <w:r>
        <w:rPr>
          <w:sz w:val="25"/>
          <w:szCs w:val="25"/>
        </w:rPr>
        <w:t>Приказ Минфина России от 27.02.2018 № 32н «Об утверждении федерального стандарта бухгалтерского учета для организаций государственного сектора «Доходы» (далее – ФСБУ № 32н);</w:t>
      </w:r>
    </w:p>
    <w:p w14:paraId="5912D77E">
      <w:pPr>
        <w:pStyle w:val="20"/>
        <w:ind w:firstLine="567"/>
        <w:jc w:val="both"/>
        <w:rPr>
          <w:sz w:val="25"/>
          <w:szCs w:val="25"/>
        </w:rPr>
      </w:pPr>
      <w:r>
        <w:rPr>
          <w:sz w:val="25"/>
          <w:szCs w:val="25"/>
        </w:rPr>
        <w:t>Приказ Минфина России от 28.02.2018 № 34н «Об утверждении федерального стандарта бухгалтерского учета для организаций государственного сектора «Непроизведенные активы» (далее - ФСБУ № 34н);</w:t>
      </w:r>
    </w:p>
    <w:p w14:paraId="639D473D">
      <w:pPr>
        <w:pStyle w:val="20"/>
        <w:ind w:firstLine="567"/>
        <w:jc w:val="both"/>
        <w:rPr>
          <w:sz w:val="25"/>
          <w:szCs w:val="25"/>
        </w:rPr>
      </w:pPr>
      <w:r>
        <w:rPr>
          <w:sz w:val="25"/>
          <w:szCs w:val="25"/>
        </w:rPr>
        <w:t>Приказ Минфина России от 28.02.2018 № 37н «Об утверждении федерального стандарта бухгалтерского учета для организаций государственного сектора «Бюджетная информация в бухгалтерской (финансовой) отчетности» (далее – ФСБУ № 37н);</w:t>
      </w:r>
    </w:p>
    <w:p w14:paraId="253C84EB">
      <w:pPr>
        <w:pStyle w:val="20"/>
        <w:ind w:firstLine="567"/>
        <w:jc w:val="both"/>
        <w:rPr>
          <w:sz w:val="25"/>
          <w:szCs w:val="25"/>
        </w:rPr>
      </w:pPr>
      <w:r>
        <w:rPr>
          <w:sz w:val="25"/>
          <w:szCs w:val="25"/>
        </w:rPr>
        <w:t>Приказ Минфина России от 07.12.2018 № 256н «Об утверждении федерального стандарта бухгалтерского</w:t>
      </w:r>
      <w:r>
        <w:rPr>
          <w:sz w:val="25"/>
          <w:szCs w:val="25"/>
        </w:rPr>
        <w:tab/>
      </w:r>
      <w:r>
        <w:rPr>
          <w:sz w:val="25"/>
          <w:szCs w:val="25"/>
        </w:rPr>
        <w:t>учета</w:t>
      </w:r>
      <w:r>
        <w:rPr>
          <w:sz w:val="25"/>
          <w:szCs w:val="25"/>
        </w:rPr>
        <w:tab/>
      </w:r>
      <w:r>
        <w:rPr>
          <w:sz w:val="25"/>
          <w:szCs w:val="25"/>
        </w:rPr>
        <w:t>для организаций государственного сектора «Запасы» (далее – ФСБУ № 256н);</w:t>
      </w:r>
    </w:p>
    <w:p w14:paraId="3BC91660">
      <w:pPr>
        <w:pStyle w:val="20"/>
        <w:ind w:firstLine="567"/>
        <w:jc w:val="both"/>
        <w:rPr>
          <w:sz w:val="25"/>
          <w:szCs w:val="25"/>
        </w:rPr>
      </w:pPr>
      <w:r>
        <w:rPr>
          <w:sz w:val="25"/>
          <w:szCs w:val="25"/>
        </w:rPr>
        <w:t>Приказ Минфина России от 29.06.2018 № 145н «Об утверждении федерального стандарта бухгалтерского учета для организаций государственного сектора «Долгосрочные договоры» (далее – ФСБУ № 145н);</w:t>
      </w:r>
    </w:p>
    <w:p w14:paraId="3580DA0E">
      <w:pPr>
        <w:pStyle w:val="20"/>
        <w:ind w:firstLine="567"/>
        <w:jc w:val="both"/>
        <w:rPr>
          <w:sz w:val="25"/>
          <w:szCs w:val="25"/>
        </w:rPr>
      </w:pPr>
      <w:r>
        <w:rPr>
          <w:sz w:val="25"/>
          <w:szCs w:val="25"/>
        </w:rPr>
        <w:t>Приказ Минфина России от 30.05.2018 № 124н «Об утверждении федерального стандарта бухгалтерского</w:t>
      </w:r>
      <w:r>
        <w:rPr>
          <w:sz w:val="25"/>
          <w:szCs w:val="25"/>
        </w:rPr>
        <w:tab/>
      </w:r>
      <w:r>
        <w:rPr>
          <w:sz w:val="25"/>
          <w:szCs w:val="25"/>
        </w:rPr>
        <w:t>учета</w:t>
      </w:r>
      <w:r>
        <w:rPr>
          <w:sz w:val="25"/>
          <w:szCs w:val="25"/>
        </w:rPr>
        <w:tab/>
      </w:r>
      <w:r>
        <w:rPr>
          <w:sz w:val="25"/>
          <w:szCs w:val="25"/>
        </w:rPr>
        <w:t>для организаций государственного сектора «Резервы. Раскрытие информации об условных обязательствах и условных активов» (далее – ФСБУ № 124н);</w:t>
      </w:r>
    </w:p>
    <w:p w14:paraId="125D2B52">
      <w:pPr>
        <w:pStyle w:val="20"/>
        <w:ind w:firstLine="567"/>
        <w:jc w:val="both"/>
        <w:rPr>
          <w:sz w:val="25"/>
          <w:szCs w:val="25"/>
        </w:rPr>
      </w:pPr>
      <w:r>
        <w:rPr>
          <w:sz w:val="25"/>
          <w:szCs w:val="25"/>
        </w:rPr>
        <w:t>Приказ Минфина России от 15.11.2019 №184н «Об утверждении федерального стандарта бухгалтерского учета государственных финансов "Выплаты персоналу» (далее – ФСБУ № 184н);</w:t>
      </w:r>
    </w:p>
    <w:p w14:paraId="536A67E9">
      <w:pPr>
        <w:pStyle w:val="20"/>
        <w:ind w:firstLine="567"/>
        <w:jc w:val="both"/>
        <w:rPr>
          <w:sz w:val="25"/>
          <w:szCs w:val="25"/>
        </w:rPr>
      </w:pPr>
      <w:r>
        <w:rPr>
          <w:sz w:val="25"/>
          <w:szCs w:val="25"/>
        </w:rPr>
        <w:t>Приказ Минфина России от 1 сентября 2021г. № 120н «Об утверждении федерального стандарта внутреннего финансового аудита «Осуществление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(далее – ФСБУ № 120н);</w:t>
      </w:r>
    </w:p>
    <w:p w14:paraId="67690E92">
      <w:pPr>
        <w:pStyle w:val="20"/>
        <w:ind w:firstLine="567"/>
        <w:jc w:val="both"/>
        <w:rPr>
          <w:sz w:val="25"/>
          <w:szCs w:val="25"/>
        </w:rPr>
      </w:pPr>
      <w:r>
        <w:rPr>
          <w:sz w:val="25"/>
          <w:szCs w:val="25"/>
        </w:rPr>
        <w:t>Приказ Министерства финансов Российской Федерации от 30 марта 2015г.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14:paraId="74C3EA0C">
      <w:pPr>
        <w:pStyle w:val="20"/>
        <w:ind w:firstLine="567"/>
        <w:jc w:val="both"/>
        <w:rPr>
          <w:sz w:val="25"/>
          <w:szCs w:val="25"/>
        </w:rPr>
      </w:pPr>
      <w:r>
        <w:rPr>
          <w:sz w:val="25"/>
          <w:szCs w:val="25"/>
        </w:rPr>
        <w:t>Постановление Государственного комитета Российской Федерации по статистике от 30.10.1997 №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(далее - Постановление № 71а);</w:t>
      </w:r>
    </w:p>
    <w:p w14:paraId="77596160">
      <w:pPr>
        <w:pStyle w:val="20"/>
        <w:ind w:firstLine="567"/>
        <w:jc w:val="both"/>
        <w:rPr>
          <w:sz w:val="25"/>
          <w:szCs w:val="25"/>
        </w:rPr>
      </w:pPr>
      <w:r>
        <w:rPr>
          <w:sz w:val="25"/>
          <w:szCs w:val="25"/>
        </w:rPr>
        <w:t>Приказ Минфина России от 29.11.2017 № 209н «Об утверждении Порядка применения классификации операций сектора государственного управления» (далее – Приказ № 209н);</w:t>
      </w:r>
    </w:p>
    <w:p w14:paraId="3C2163CB">
      <w:pPr>
        <w:pStyle w:val="20"/>
        <w:ind w:firstLine="567"/>
        <w:jc w:val="both"/>
        <w:rPr>
          <w:sz w:val="25"/>
          <w:szCs w:val="25"/>
        </w:rPr>
      </w:pPr>
      <w:r>
        <w:rPr>
          <w:sz w:val="25"/>
          <w:szCs w:val="25"/>
        </w:rPr>
        <w:t>Приказ Минфина России от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14:paraId="2A974A7A">
      <w:pPr>
        <w:pStyle w:val="20"/>
        <w:ind w:firstLine="567"/>
        <w:jc w:val="both"/>
        <w:rPr>
          <w:sz w:val="25"/>
          <w:szCs w:val="25"/>
        </w:rPr>
      </w:pPr>
      <w:r>
        <w:rPr>
          <w:sz w:val="25"/>
          <w:szCs w:val="25"/>
        </w:rPr>
        <w:t>Приказ Министерства финансов Российской Федерации от 28 декабря 2010г.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Приказ № 191н);</w:t>
      </w:r>
    </w:p>
    <w:p w14:paraId="6716E5A2">
      <w:pPr>
        <w:pStyle w:val="20"/>
        <w:ind w:firstLine="567"/>
        <w:jc w:val="both"/>
        <w:rPr>
          <w:sz w:val="25"/>
          <w:szCs w:val="25"/>
        </w:rPr>
      </w:pPr>
      <w:r>
        <w:rPr>
          <w:sz w:val="25"/>
          <w:szCs w:val="25"/>
        </w:rPr>
        <w:t>Приказ Министерства финансов Российской Федерации от 13 июня 1995 г. № 49 «Об утверждении Методических указаний по инвентаризации имущества                                  и   финансовых обязательств» (далее – Методические указания № 49);</w:t>
      </w:r>
    </w:p>
    <w:p w14:paraId="1D4BABA1">
      <w:pPr>
        <w:pStyle w:val="20"/>
        <w:ind w:firstLine="567"/>
        <w:jc w:val="both"/>
        <w:rPr>
          <w:sz w:val="25"/>
          <w:szCs w:val="25"/>
        </w:rPr>
      </w:pPr>
      <w:r>
        <w:rPr>
          <w:sz w:val="25"/>
          <w:szCs w:val="25"/>
        </w:rPr>
        <w:t>Иные нормативно-правовые акты Российской Федерации и города Москвы, относящиеся к ведению финансово-хозяйственной деятельности администрации МО.</w:t>
      </w:r>
    </w:p>
    <w:p w14:paraId="27427D8D">
      <w:pPr>
        <w:pStyle w:val="20"/>
        <w:ind w:firstLine="567"/>
        <w:jc w:val="both"/>
        <w:rPr>
          <w:sz w:val="25"/>
          <w:szCs w:val="25"/>
        </w:rPr>
      </w:pPr>
      <w:r>
        <w:rPr>
          <w:sz w:val="25"/>
          <w:szCs w:val="25"/>
        </w:rPr>
        <w:t xml:space="preserve">Налоговый учет и бухгалтерский учет </w:t>
      </w:r>
      <w:r>
        <w:rPr>
          <w:iCs/>
          <w:sz w:val="25"/>
          <w:szCs w:val="25"/>
        </w:rPr>
        <w:t>в администрации ведется финансово-бухгалтерской службой. О</w:t>
      </w:r>
      <w:r>
        <w:rPr>
          <w:sz w:val="25"/>
          <w:szCs w:val="25"/>
        </w:rPr>
        <w:t>существляется в соответствии с требованиями Налогового кодекса Российской Федерации, а также иными нормативными правовыми актами Российской Федерации.</w:t>
      </w:r>
    </w:p>
    <w:p w14:paraId="5D7133C1">
      <w:pPr>
        <w:pStyle w:val="20"/>
        <w:ind w:firstLine="567"/>
        <w:jc w:val="both"/>
        <w:rPr>
          <w:sz w:val="25"/>
          <w:szCs w:val="25"/>
        </w:rPr>
      </w:pPr>
    </w:p>
    <w:p w14:paraId="48F36544">
      <w:pPr>
        <w:pStyle w:val="20"/>
        <w:ind w:firstLine="567"/>
        <w:jc w:val="both"/>
        <w:rPr>
          <w:sz w:val="25"/>
          <w:szCs w:val="25"/>
        </w:rPr>
      </w:pPr>
    </w:p>
    <w:p w14:paraId="01BA2D30">
      <w:pPr>
        <w:pStyle w:val="20"/>
        <w:ind w:firstLine="567"/>
        <w:jc w:val="both"/>
        <w:rPr>
          <w:sz w:val="25"/>
          <w:szCs w:val="25"/>
        </w:rPr>
      </w:pPr>
    </w:p>
    <w:p w14:paraId="4D9627AF">
      <w:pPr>
        <w:pStyle w:val="20"/>
        <w:ind w:firstLine="567"/>
        <w:jc w:val="both"/>
        <w:rPr>
          <w:sz w:val="25"/>
          <w:szCs w:val="25"/>
        </w:rPr>
      </w:pPr>
    </w:p>
    <w:p w14:paraId="3B633FF8">
      <w:pPr>
        <w:pStyle w:val="20"/>
        <w:ind w:firstLine="567"/>
        <w:jc w:val="both"/>
        <w:rPr>
          <w:sz w:val="25"/>
          <w:szCs w:val="25"/>
        </w:rPr>
      </w:pPr>
    </w:p>
    <w:p w14:paraId="68BB8B02">
      <w:pPr>
        <w:pStyle w:val="20"/>
        <w:ind w:firstLine="567"/>
        <w:jc w:val="center"/>
        <w:rPr>
          <w:b/>
          <w:sz w:val="25"/>
          <w:szCs w:val="25"/>
        </w:rPr>
      </w:pPr>
      <w:r>
        <w:rPr>
          <w:b/>
          <w:sz w:val="25"/>
          <w:szCs w:val="25"/>
        </w:rPr>
        <w:t>2. Порядок организации бюджетного учета</w:t>
      </w:r>
    </w:p>
    <w:p w14:paraId="4B39A40D">
      <w:pPr>
        <w:pStyle w:val="20"/>
        <w:ind w:firstLine="567"/>
        <w:jc w:val="both"/>
        <w:rPr>
          <w:sz w:val="25"/>
          <w:szCs w:val="25"/>
        </w:rPr>
      </w:pPr>
    </w:p>
    <w:p w14:paraId="1F03934F">
      <w:pPr>
        <w:pStyle w:val="20"/>
        <w:ind w:firstLine="567"/>
        <w:jc w:val="both"/>
        <w:rPr>
          <w:iCs/>
          <w:sz w:val="25"/>
          <w:szCs w:val="25"/>
        </w:rPr>
      </w:pPr>
      <w:r>
        <w:rPr>
          <w:sz w:val="25"/>
          <w:szCs w:val="25"/>
        </w:rPr>
        <w:t xml:space="preserve">2.1. </w:t>
      </w:r>
      <w:r>
        <w:rPr>
          <w:iCs/>
          <w:sz w:val="25"/>
          <w:szCs w:val="25"/>
        </w:rPr>
        <w:t>Основными задачами являются ведение бухгалтерского и налогового учета финансово-хозяйственной деятельности, осуществления контроля за сохранностью собственности, правильным расходованием денежных средств и материальных ценностей. Деятельность работников отдела регламентируется их должностными инструкциями,</w:t>
      </w:r>
      <w:r>
        <w:rPr>
          <w:sz w:val="25"/>
          <w:szCs w:val="25"/>
        </w:rPr>
        <w:t xml:space="preserve"> утвержденными главой администрации.</w:t>
      </w:r>
      <w:r>
        <w:rPr>
          <w:iCs/>
          <w:sz w:val="25"/>
          <w:szCs w:val="25"/>
        </w:rPr>
        <w:t xml:space="preserve"> Работники отдела подчиняются главному бухгалтеру-начальнику отдела администрации. Главный бухгалтер-начальник отдела в своей деятельности руководствуется: действующим законодательством, другими нормативными правовыми актами, утверждаемыми в установленном порядке, регулирующими бухгалтерский и налоговый учет, постановлениями, распоряжениями администрации по основной деятельности и по личному составу, указаниями главы </w:t>
      </w:r>
      <w:r>
        <w:rPr>
          <w:sz w:val="25"/>
          <w:szCs w:val="25"/>
        </w:rPr>
        <w:t>администрации</w:t>
      </w:r>
      <w:r>
        <w:rPr>
          <w:iCs/>
          <w:sz w:val="25"/>
          <w:szCs w:val="25"/>
        </w:rPr>
        <w:t>, настоящим Положением.</w:t>
      </w:r>
    </w:p>
    <w:p w14:paraId="7856C134">
      <w:pPr>
        <w:pStyle w:val="20"/>
        <w:ind w:firstLine="567"/>
        <w:jc w:val="both"/>
        <w:rPr>
          <w:iCs/>
          <w:sz w:val="25"/>
          <w:szCs w:val="25"/>
        </w:rPr>
      </w:pPr>
      <w:r>
        <w:rPr>
          <w:sz w:val="25"/>
          <w:szCs w:val="25"/>
        </w:rPr>
        <w:t xml:space="preserve"> </w:t>
      </w:r>
      <w:r>
        <w:rPr>
          <w:sz w:val="25"/>
          <w:szCs w:val="25"/>
        </w:rPr>
        <w:tab/>
      </w:r>
      <w:r>
        <w:rPr>
          <w:sz w:val="25"/>
          <w:szCs w:val="25"/>
        </w:rPr>
        <w:t>Главный бухгалтер подчиняется непосредственно главе администрации муниципального округа Останкинский.</w:t>
      </w:r>
      <w:r>
        <w:rPr>
          <w:rFonts w:eastAsia="Calibri"/>
          <w:iCs/>
          <w:szCs w:val="28"/>
          <w:lang w:eastAsia="en-US"/>
        </w:rPr>
        <w:t xml:space="preserve"> </w:t>
      </w:r>
      <w:r>
        <w:rPr>
          <w:iCs/>
          <w:sz w:val="25"/>
          <w:szCs w:val="25"/>
        </w:rPr>
        <w:t>Структуру и штатный состав отдела утверждает глава муниципального округа с учетом объемов работы и особенностей финансово-хозяйственной деятельности.</w:t>
      </w:r>
    </w:p>
    <w:p w14:paraId="1EFCDF73">
      <w:pPr>
        <w:pStyle w:val="20"/>
        <w:ind w:firstLine="567"/>
        <w:jc w:val="both"/>
        <w:rPr>
          <w:sz w:val="25"/>
          <w:szCs w:val="25"/>
        </w:rPr>
      </w:pPr>
      <w:r>
        <w:rPr>
          <w:sz w:val="25"/>
          <w:szCs w:val="25"/>
        </w:rPr>
        <w:t xml:space="preserve">2.2. Права и обязанности главного бухгалтера обозначены в Федеральном законе               № 402-ФЗ. Требования главного бухгалтера по документальному оформлению фактов хозяйственной жизни и представлению в бухгалтерию необходимых документов                      и сведений обязательны для всех сотрудников </w:t>
      </w:r>
      <w:r>
        <w:rPr>
          <w:iCs/>
          <w:sz w:val="25"/>
          <w:szCs w:val="25"/>
        </w:rPr>
        <w:t>администрации</w:t>
      </w:r>
      <w:r>
        <w:rPr>
          <w:sz w:val="25"/>
          <w:szCs w:val="25"/>
        </w:rPr>
        <w:t>.</w:t>
      </w:r>
    </w:p>
    <w:p w14:paraId="020BE837">
      <w:pPr>
        <w:pStyle w:val="20"/>
        <w:ind w:firstLine="567"/>
        <w:jc w:val="both"/>
        <w:rPr>
          <w:sz w:val="25"/>
          <w:szCs w:val="25"/>
        </w:rPr>
      </w:pPr>
      <w:r>
        <w:rPr>
          <w:sz w:val="25"/>
          <w:szCs w:val="25"/>
        </w:rPr>
        <w:t>Главный бухгалтер несет ответственность за формирование учетной политики, ведение бюджетного и налогового учета, своевременное представление полной                        и достоверной бюджетной, налоговой, статистической и иной отчетности.</w:t>
      </w:r>
    </w:p>
    <w:p w14:paraId="46D03C13">
      <w:pPr>
        <w:pStyle w:val="20"/>
        <w:ind w:firstLine="567"/>
        <w:jc w:val="both"/>
        <w:rPr>
          <w:sz w:val="25"/>
          <w:szCs w:val="25"/>
        </w:rPr>
      </w:pPr>
      <w:r>
        <w:rPr>
          <w:sz w:val="25"/>
          <w:szCs w:val="25"/>
        </w:rPr>
        <w:t xml:space="preserve">2.3. Ответственность за организацию бухгалтерского учета несет глава администрации муниципального округа Останкинский </w:t>
      </w:r>
    </w:p>
    <w:p w14:paraId="2A5DFA96">
      <w:pPr>
        <w:pStyle w:val="20"/>
        <w:ind w:firstLine="567"/>
        <w:jc w:val="both"/>
        <w:rPr>
          <w:sz w:val="25"/>
          <w:szCs w:val="25"/>
        </w:rPr>
      </w:pPr>
      <w:r>
        <w:rPr>
          <w:sz w:val="25"/>
          <w:szCs w:val="25"/>
        </w:rPr>
        <w:t xml:space="preserve">2.4. Правильность отражения фактов хозяйственной жизни в регистрах бюджетного учета обеспечивают лица, составившие и подписавшие их. </w:t>
      </w:r>
    </w:p>
    <w:p w14:paraId="241FF669">
      <w:pPr>
        <w:pStyle w:val="20"/>
        <w:ind w:firstLine="567"/>
        <w:jc w:val="both"/>
        <w:rPr>
          <w:sz w:val="25"/>
          <w:szCs w:val="25"/>
        </w:rPr>
      </w:pPr>
      <w:r>
        <w:rPr>
          <w:sz w:val="25"/>
          <w:szCs w:val="25"/>
        </w:rPr>
        <w:t>Оценка имущества, обязательств и фактов хозяйственной жизни осуществляется                   в рублях и копейках.</w:t>
      </w:r>
    </w:p>
    <w:p w14:paraId="1EB9BB5F">
      <w:pPr>
        <w:pStyle w:val="20"/>
        <w:ind w:firstLine="567"/>
        <w:jc w:val="both"/>
        <w:rPr>
          <w:sz w:val="25"/>
          <w:szCs w:val="25"/>
        </w:rPr>
      </w:pPr>
      <w:r>
        <w:rPr>
          <w:sz w:val="25"/>
          <w:szCs w:val="25"/>
        </w:rPr>
        <w:t>2.5. Для отражения объектов учета и изменяющих их фактов хозяйственной жизни используются:</w:t>
      </w:r>
    </w:p>
    <w:p w14:paraId="7D302196">
      <w:pPr>
        <w:pStyle w:val="20"/>
        <w:ind w:firstLine="567"/>
        <w:jc w:val="both"/>
        <w:rPr>
          <w:sz w:val="25"/>
          <w:szCs w:val="25"/>
        </w:rPr>
      </w:pPr>
      <w:r>
        <w:rPr>
          <w:sz w:val="25"/>
          <w:szCs w:val="25"/>
        </w:rPr>
        <w:t xml:space="preserve">     - унифицированные </w:t>
      </w:r>
      <w:r>
        <w:rPr>
          <w:sz w:val="25"/>
          <w:szCs w:val="25"/>
        </w:rPr>
        <w:fldChar w:fldCharType="begin"/>
      </w:r>
      <w:r>
        <w:rPr>
          <w:sz w:val="25"/>
          <w:szCs w:val="25"/>
        </w:rPr>
        <w:instrText xml:space="preserve">HYPERLINK https://dit.consultant.ru?req=doc&amp;base=LAW&amp;n=285455&amp;dst=100160&amp;fld=134 </w:instrText>
      </w:r>
      <w:r>
        <w:rPr>
          <w:sz w:val="25"/>
          <w:szCs w:val="25"/>
        </w:rPr>
        <w:fldChar w:fldCharType="separate"/>
      </w:r>
      <w:r>
        <w:rPr>
          <w:sz w:val="25"/>
          <w:szCs w:val="25"/>
        </w:rPr>
        <w:t>формы</w:t>
      </w:r>
      <w:r>
        <w:rPr>
          <w:sz w:val="25"/>
          <w:szCs w:val="25"/>
        </w:rPr>
        <w:fldChar w:fldCharType="end"/>
      </w:r>
      <w:r>
        <w:rPr>
          <w:sz w:val="25"/>
          <w:szCs w:val="25"/>
        </w:rPr>
        <w:t xml:space="preserve"> первичных учетных документов, утвержденные Приказом Минфина России № 52н;</w:t>
      </w:r>
    </w:p>
    <w:p w14:paraId="34D6D170">
      <w:pPr>
        <w:pStyle w:val="20"/>
        <w:ind w:firstLine="567"/>
        <w:jc w:val="both"/>
        <w:rPr>
          <w:sz w:val="25"/>
          <w:szCs w:val="25"/>
        </w:rPr>
      </w:pPr>
      <w:r>
        <w:rPr>
          <w:sz w:val="25"/>
          <w:szCs w:val="25"/>
        </w:rPr>
        <w:t xml:space="preserve">     - иные формы первичных документов, предусмотренные настоящей Учетной политикой.</w:t>
      </w:r>
    </w:p>
    <w:p w14:paraId="75123754">
      <w:pPr>
        <w:pStyle w:val="20"/>
        <w:ind w:firstLine="567"/>
        <w:jc w:val="both"/>
        <w:rPr>
          <w:sz w:val="25"/>
          <w:szCs w:val="25"/>
        </w:rPr>
      </w:pPr>
      <w:r>
        <w:rPr>
          <w:sz w:val="25"/>
          <w:szCs w:val="25"/>
        </w:rPr>
        <w:t>Формы первичных (сводных) учетных документов, регистров бухгалтерского учета, иных документов бухгалтерского учета, применяемых для оформления фактов хозяйственной жизни, ведения бухгалтерского учета должны содержать обязательные реквизиты документа:</w:t>
      </w:r>
    </w:p>
    <w:p w14:paraId="2F3837A2">
      <w:pPr>
        <w:pStyle w:val="20"/>
        <w:ind w:firstLine="567"/>
        <w:jc w:val="both"/>
        <w:rPr>
          <w:sz w:val="25"/>
          <w:szCs w:val="25"/>
        </w:rPr>
      </w:pPr>
      <w:r>
        <w:rPr>
          <w:sz w:val="25"/>
          <w:szCs w:val="25"/>
        </w:rPr>
        <w:t>- наименование и дата составления документа;</w:t>
      </w:r>
    </w:p>
    <w:p w14:paraId="5A6769C4">
      <w:pPr>
        <w:pStyle w:val="20"/>
        <w:ind w:firstLine="567"/>
        <w:jc w:val="both"/>
        <w:rPr>
          <w:sz w:val="25"/>
          <w:szCs w:val="25"/>
        </w:rPr>
      </w:pPr>
      <w:r>
        <w:rPr>
          <w:sz w:val="25"/>
          <w:szCs w:val="25"/>
        </w:rPr>
        <w:t>- наименование организации или ИП составившей документ;</w:t>
      </w:r>
    </w:p>
    <w:p w14:paraId="74A847B1">
      <w:pPr>
        <w:pStyle w:val="20"/>
        <w:ind w:firstLine="567"/>
        <w:jc w:val="both"/>
        <w:rPr>
          <w:sz w:val="25"/>
          <w:szCs w:val="25"/>
        </w:rPr>
      </w:pPr>
      <w:r>
        <w:rPr>
          <w:sz w:val="25"/>
          <w:szCs w:val="25"/>
        </w:rPr>
        <w:t>- указание факта хозяйственной деятельности;</w:t>
      </w:r>
    </w:p>
    <w:p w14:paraId="764D2041">
      <w:pPr>
        <w:pStyle w:val="20"/>
        <w:ind w:firstLine="567"/>
        <w:jc w:val="both"/>
        <w:rPr>
          <w:sz w:val="25"/>
          <w:szCs w:val="25"/>
        </w:rPr>
      </w:pPr>
      <w:r>
        <w:rPr>
          <w:sz w:val="25"/>
          <w:szCs w:val="25"/>
        </w:rPr>
        <w:t>- величина измерения факта в натуральных или денежных показателях;</w:t>
      </w:r>
    </w:p>
    <w:p w14:paraId="263050A7">
      <w:pPr>
        <w:pStyle w:val="20"/>
        <w:ind w:firstLine="567"/>
        <w:jc w:val="both"/>
        <w:rPr>
          <w:sz w:val="25"/>
          <w:szCs w:val="25"/>
        </w:rPr>
      </w:pPr>
      <w:r>
        <w:rPr>
          <w:sz w:val="25"/>
          <w:szCs w:val="25"/>
        </w:rPr>
        <w:t xml:space="preserve">- наименования, ФИО и подписи ответственных лиц.                          </w:t>
      </w:r>
    </w:p>
    <w:p w14:paraId="2148B164">
      <w:pPr>
        <w:pStyle w:val="20"/>
        <w:ind w:firstLine="567"/>
        <w:jc w:val="both"/>
        <w:rPr>
          <w:iCs/>
          <w:sz w:val="25"/>
          <w:szCs w:val="25"/>
        </w:rPr>
      </w:pPr>
      <w:r>
        <w:rPr>
          <w:sz w:val="25"/>
          <w:szCs w:val="25"/>
        </w:rPr>
        <w:t>2.6. Ответственность за качественное оформление первичных учетных документов, достоверность содержащихся в них данных и передачу в установленные сроки для отражения в бюджетном учете несут лица, составившие и подписавшие эти документы. Лицо, на которое возложено ведение бюджетного учета, не несет ответственность за соответствие составленных другими лицами первичных учетных документов, свершившимся фактам хозяйственной жизни</w:t>
      </w:r>
      <w:r>
        <w:rPr>
          <w:i/>
          <w:sz w:val="25"/>
          <w:szCs w:val="25"/>
        </w:rPr>
        <w:t>.</w:t>
      </w:r>
      <w:r>
        <w:rPr>
          <w:i/>
          <w:iCs/>
          <w:sz w:val="25"/>
          <w:szCs w:val="25"/>
        </w:rPr>
        <w:t xml:space="preserve"> </w:t>
      </w:r>
      <w:r>
        <w:rPr>
          <w:iCs/>
          <w:sz w:val="25"/>
          <w:szCs w:val="25"/>
        </w:rPr>
        <w:t xml:space="preserve">(Основание: п. 3 ст. 9 Закона </w:t>
      </w:r>
      <w:r>
        <w:rPr>
          <w:sz w:val="25"/>
          <w:szCs w:val="25"/>
        </w:rPr>
        <w:t>№</w:t>
      </w:r>
      <w:r>
        <w:rPr>
          <w:iCs/>
          <w:sz w:val="25"/>
          <w:szCs w:val="25"/>
        </w:rPr>
        <w:t xml:space="preserve"> 402-ФЗ; </w:t>
      </w:r>
      <w:r>
        <w:rPr>
          <w:sz w:val="25"/>
          <w:szCs w:val="25"/>
        </w:rPr>
        <w:fldChar w:fldCharType="begin"/>
      </w:r>
      <w:r>
        <w:rPr>
          <w:sz w:val="25"/>
          <w:szCs w:val="25"/>
        </w:rPr>
        <w:instrText xml:space="preserve">HYPERLINK https://dit.consultant.ru?req=doc&amp;base=LAW&amp;n=216121&amp;dst=100072&amp;fld=134 </w:instrText>
      </w:r>
      <w:r>
        <w:rPr>
          <w:sz w:val="25"/>
          <w:szCs w:val="25"/>
        </w:rPr>
        <w:fldChar w:fldCharType="separate"/>
      </w:r>
      <w:r>
        <w:rPr>
          <w:iCs/>
          <w:sz w:val="25"/>
          <w:szCs w:val="25"/>
        </w:rPr>
        <w:t>п. 2</w:t>
      </w:r>
      <w:r>
        <w:rPr>
          <w:sz w:val="25"/>
          <w:szCs w:val="25"/>
        </w:rPr>
        <w:fldChar w:fldCharType="end"/>
      </w:r>
      <w:r>
        <w:rPr>
          <w:sz w:val="25"/>
          <w:szCs w:val="25"/>
        </w:rPr>
        <w:t>4</w:t>
      </w:r>
      <w:r>
        <w:rPr>
          <w:iCs/>
          <w:sz w:val="25"/>
          <w:szCs w:val="25"/>
        </w:rPr>
        <w:t xml:space="preserve"> ФСБУ </w:t>
      </w:r>
      <w:r>
        <w:rPr>
          <w:sz w:val="25"/>
          <w:szCs w:val="25"/>
        </w:rPr>
        <w:t>№</w:t>
      </w:r>
      <w:r>
        <w:rPr>
          <w:iCs/>
          <w:sz w:val="25"/>
          <w:szCs w:val="25"/>
        </w:rPr>
        <w:t xml:space="preserve"> 256н).</w:t>
      </w:r>
    </w:p>
    <w:p w14:paraId="5BF38663">
      <w:pPr>
        <w:pStyle w:val="20"/>
        <w:ind w:firstLine="567"/>
        <w:jc w:val="both"/>
        <w:rPr>
          <w:sz w:val="25"/>
          <w:szCs w:val="25"/>
        </w:rPr>
      </w:pPr>
      <w:r>
        <w:rPr>
          <w:sz w:val="25"/>
          <w:szCs w:val="25"/>
        </w:rPr>
        <w:t>Если первичный учетный документ принят или не принят к учету по письменному распоряжению главы администрации муниципального округа Останкинский, то последний несет единоличную ответственность за созданную в результате этого информацию (Основание: пп. 1 п. 8 ст. 7 Закона № 402-ФЗ, п. 26 ФСБУ № 256н).</w:t>
      </w:r>
    </w:p>
    <w:p w14:paraId="1B25D843">
      <w:pPr>
        <w:pStyle w:val="20"/>
        <w:ind w:firstLine="567"/>
        <w:jc w:val="both"/>
        <w:rPr>
          <w:sz w:val="25"/>
          <w:szCs w:val="25"/>
        </w:rPr>
      </w:pPr>
      <w:r>
        <w:rPr>
          <w:sz w:val="25"/>
          <w:szCs w:val="25"/>
        </w:rPr>
        <w:t>2.7. Все денежные и расчетные документы, без подписи главы администрации муниципального округа и главного бухгалтера к исполнению и бухгалтерскому учету не принимаются.</w:t>
      </w:r>
    </w:p>
    <w:p w14:paraId="3DBEB27A">
      <w:pPr>
        <w:pStyle w:val="20"/>
        <w:ind w:firstLine="567"/>
        <w:jc w:val="both"/>
        <w:rPr>
          <w:sz w:val="25"/>
          <w:szCs w:val="25"/>
        </w:rPr>
      </w:pPr>
      <w:r>
        <w:rPr>
          <w:sz w:val="25"/>
          <w:szCs w:val="25"/>
        </w:rPr>
        <w:t>2.8. Доверенности на получение товарно-материальных ценностей выдаются только сотрудникам администрации.</w:t>
      </w:r>
    </w:p>
    <w:p w14:paraId="18E4FDF4">
      <w:pPr>
        <w:pStyle w:val="20"/>
        <w:ind w:firstLine="567"/>
        <w:jc w:val="both"/>
        <w:rPr>
          <w:sz w:val="25"/>
          <w:szCs w:val="25"/>
        </w:rPr>
      </w:pPr>
      <w:r>
        <w:rPr>
          <w:sz w:val="25"/>
          <w:szCs w:val="25"/>
        </w:rPr>
        <w:t>2.9. Данные проверенных и принятых к учету первичных (сводных) учетных документов систематизируются с отражением в регистрах бухгалтерского учета согласно таблицы:</w:t>
      </w:r>
    </w:p>
    <w:p w14:paraId="60E6D7B6">
      <w:pPr>
        <w:pStyle w:val="20"/>
        <w:ind w:firstLine="567"/>
        <w:jc w:val="both"/>
        <w:rPr>
          <w:sz w:val="25"/>
          <w:szCs w:val="25"/>
        </w:rPr>
      </w:pPr>
    </w:p>
    <w:tbl>
      <w:tblPr>
        <w:tblStyle w:val="4"/>
        <w:tblW w:w="9498" w:type="dxa"/>
        <w:tblInd w:w="108" w:type="dxa"/>
        <w:tblLayout w:type="autofit"/>
        <w:tblCellMar>
          <w:top w:w="0" w:type="dxa"/>
          <w:left w:w="108" w:type="dxa"/>
          <w:bottom w:w="0" w:type="dxa"/>
          <w:right w:w="108" w:type="dxa"/>
        </w:tblCellMar>
      </w:tblPr>
      <w:tblGrid>
        <w:gridCol w:w="1276"/>
        <w:gridCol w:w="4961"/>
        <w:gridCol w:w="3261"/>
      </w:tblGrid>
      <w:tr w14:paraId="23FBB390">
        <w:tblPrEx>
          <w:tblCellMar>
            <w:top w:w="0" w:type="dxa"/>
            <w:left w:w="108" w:type="dxa"/>
            <w:bottom w:w="0" w:type="dxa"/>
            <w:right w:w="108" w:type="dxa"/>
          </w:tblCellMar>
        </w:tblPrEx>
        <w:trPr>
          <w:wBefore w:w="0" w:type="dxa"/>
          <w:wAfter w:w="0" w:type="dxa"/>
          <w:trHeight w:val="838"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056C1B1">
            <w:pPr>
              <w:pStyle w:val="20"/>
              <w:ind w:hanging="247"/>
              <w:jc w:val="center"/>
              <w:rPr>
                <w:sz w:val="25"/>
                <w:szCs w:val="25"/>
              </w:rPr>
            </w:pPr>
            <w:r>
              <w:rPr>
                <w:sz w:val="25"/>
                <w:szCs w:val="25"/>
              </w:rPr>
              <w:t>Номер</w:t>
            </w:r>
          </w:p>
          <w:p w14:paraId="7012D0AF">
            <w:pPr>
              <w:pStyle w:val="20"/>
              <w:ind w:hanging="105"/>
              <w:jc w:val="center"/>
              <w:rPr>
                <w:sz w:val="25"/>
                <w:szCs w:val="25"/>
              </w:rPr>
            </w:pPr>
            <w:r>
              <w:rPr>
                <w:sz w:val="25"/>
                <w:szCs w:val="25"/>
              </w:rPr>
              <w:t>журнала</w:t>
            </w:r>
          </w:p>
          <w:p w14:paraId="67F9C8E5">
            <w:pPr>
              <w:pStyle w:val="20"/>
              <w:jc w:val="center"/>
              <w:rPr>
                <w:sz w:val="25"/>
                <w:szCs w:val="25"/>
              </w:rPr>
            </w:pPr>
            <w:r>
              <w:rPr>
                <w:sz w:val="25"/>
                <w:szCs w:val="25"/>
              </w:rPr>
              <w:t>операций</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3A1E0361">
            <w:pPr>
              <w:pStyle w:val="20"/>
              <w:ind w:firstLine="567"/>
              <w:jc w:val="center"/>
              <w:rPr>
                <w:sz w:val="25"/>
                <w:szCs w:val="25"/>
              </w:rPr>
            </w:pPr>
            <w:r>
              <w:rPr>
                <w:sz w:val="25"/>
                <w:szCs w:val="25"/>
              </w:rPr>
              <w:t>Наименование журнала операций</w:t>
            </w:r>
          </w:p>
          <w:p w14:paraId="628D684B">
            <w:pPr>
              <w:pStyle w:val="20"/>
              <w:ind w:firstLine="567"/>
              <w:jc w:val="center"/>
              <w:rPr>
                <w:sz w:val="25"/>
                <w:szCs w:val="25"/>
              </w:rPr>
            </w:pPr>
          </w:p>
          <w:p w14:paraId="791A005D">
            <w:pPr>
              <w:pStyle w:val="20"/>
              <w:ind w:firstLine="567"/>
              <w:jc w:val="center"/>
              <w:rPr>
                <w:sz w:val="25"/>
                <w:szCs w:val="25"/>
              </w:rPr>
            </w:pP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2F277F34">
            <w:pPr>
              <w:pStyle w:val="20"/>
              <w:ind w:hanging="161"/>
              <w:jc w:val="center"/>
              <w:rPr>
                <w:sz w:val="25"/>
                <w:szCs w:val="25"/>
              </w:rPr>
            </w:pPr>
            <w:r>
              <w:rPr>
                <w:sz w:val="25"/>
                <w:szCs w:val="25"/>
              </w:rPr>
              <w:t>№ счета для учета</w:t>
            </w:r>
          </w:p>
          <w:p w14:paraId="2CE38736">
            <w:pPr>
              <w:pStyle w:val="20"/>
              <w:ind w:hanging="20"/>
              <w:jc w:val="center"/>
              <w:rPr>
                <w:sz w:val="25"/>
                <w:szCs w:val="25"/>
              </w:rPr>
            </w:pPr>
            <w:r>
              <w:rPr>
                <w:sz w:val="25"/>
                <w:szCs w:val="25"/>
              </w:rPr>
              <w:t>в журнале операций</w:t>
            </w:r>
          </w:p>
          <w:p w14:paraId="6C414489">
            <w:pPr>
              <w:pStyle w:val="20"/>
              <w:ind w:firstLine="567"/>
              <w:jc w:val="center"/>
              <w:rPr>
                <w:sz w:val="25"/>
                <w:szCs w:val="25"/>
              </w:rPr>
            </w:pPr>
          </w:p>
        </w:tc>
      </w:tr>
      <w:tr w14:paraId="4F7DE779">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C8E72B5">
            <w:pPr>
              <w:pStyle w:val="20"/>
              <w:ind w:firstLine="567"/>
              <w:rPr>
                <w:sz w:val="25"/>
                <w:szCs w:val="25"/>
              </w:rPr>
            </w:pPr>
            <w:r>
              <w:rPr>
                <w:sz w:val="25"/>
                <w:szCs w:val="25"/>
              </w:rPr>
              <w:t>2</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0B686FE5">
            <w:pPr>
              <w:pStyle w:val="20"/>
              <w:ind w:firstLine="39"/>
              <w:rPr>
                <w:sz w:val="25"/>
                <w:szCs w:val="25"/>
              </w:rPr>
            </w:pPr>
            <w:r>
              <w:rPr>
                <w:sz w:val="25"/>
                <w:szCs w:val="25"/>
              </w:rPr>
              <w:t xml:space="preserve">Журнал операций с безналичными денежными средствами: </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36082A4B">
            <w:pPr>
              <w:pStyle w:val="20"/>
              <w:ind w:firstLine="567"/>
              <w:jc w:val="both"/>
              <w:rPr>
                <w:sz w:val="25"/>
                <w:szCs w:val="25"/>
              </w:rPr>
            </w:pPr>
          </w:p>
        </w:tc>
      </w:tr>
      <w:tr w14:paraId="276FB07E">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7382929">
            <w:pPr>
              <w:pStyle w:val="20"/>
              <w:ind w:firstLine="567"/>
              <w:rPr>
                <w:sz w:val="25"/>
                <w:szCs w:val="25"/>
              </w:rPr>
            </w:pPr>
            <w:r>
              <w:rPr>
                <w:sz w:val="25"/>
                <w:szCs w:val="25"/>
              </w:rPr>
              <w:t>2</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7234545F">
            <w:pPr>
              <w:pStyle w:val="20"/>
              <w:ind w:firstLine="567"/>
              <w:rPr>
                <w:sz w:val="25"/>
                <w:szCs w:val="25"/>
              </w:rPr>
            </w:pPr>
            <w:r>
              <w:rPr>
                <w:sz w:val="25"/>
                <w:szCs w:val="25"/>
              </w:rPr>
              <w:t xml:space="preserve">- по денежным средствам, полученным </w:t>
            </w:r>
          </w:p>
          <w:p w14:paraId="12B4BAC8">
            <w:pPr>
              <w:pStyle w:val="20"/>
              <w:ind w:firstLine="567"/>
              <w:rPr>
                <w:sz w:val="25"/>
                <w:szCs w:val="25"/>
              </w:rPr>
            </w:pPr>
            <w:r>
              <w:rPr>
                <w:sz w:val="25"/>
                <w:szCs w:val="25"/>
              </w:rPr>
              <w:t>во временное распоряжение</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5CC08348">
            <w:pPr>
              <w:pStyle w:val="20"/>
              <w:ind w:firstLine="319"/>
              <w:jc w:val="right"/>
              <w:rPr>
                <w:sz w:val="25"/>
                <w:szCs w:val="25"/>
              </w:rPr>
            </w:pPr>
            <w:r>
              <w:rPr>
                <w:sz w:val="25"/>
                <w:szCs w:val="25"/>
              </w:rPr>
              <w:t>3.2011000, 3.30401000</w:t>
            </w:r>
          </w:p>
        </w:tc>
      </w:tr>
      <w:tr w14:paraId="0D8810FA">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880C5FC">
            <w:pPr>
              <w:pStyle w:val="20"/>
              <w:ind w:firstLine="567"/>
              <w:rPr>
                <w:sz w:val="25"/>
                <w:szCs w:val="25"/>
              </w:rPr>
            </w:pPr>
            <w:r>
              <w:rPr>
                <w:sz w:val="25"/>
                <w:szCs w:val="25"/>
              </w:rPr>
              <w:t>2</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0F1A2E81">
            <w:pPr>
              <w:pStyle w:val="20"/>
              <w:ind w:firstLine="567"/>
              <w:rPr>
                <w:sz w:val="25"/>
                <w:szCs w:val="25"/>
              </w:rPr>
            </w:pPr>
            <w:r>
              <w:rPr>
                <w:sz w:val="25"/>
                <w:szCs w:val="25"/>
              </w:rPr>
              <w:t>- по лицевым счета, открытым в УФК</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3BD01166">
            <w:pPr>
              <w:pStyle w:val="20"/>
              <w:ind w:firstLine="567"/>
              <w:jc w:val="right"/>
              <w:rPr>
                <w:sz w:val="25"/>
                <w:szCs w:val="25"/>
              </w:rPr>
            </w:pPr>
          </w:p>
        </w:tc>
      </w:tr>
      <w:tr w14:paraId="134D82BE">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003994D">
            <w:pPr>
              <w:pStyle w:val="20"/>
              <w:ind w:firstLine="567"/>
              <w:rPr>
                <w:sz w:val="25"/>
                <w:szCs w:val="25"/>
              </w:rPr>
            </w:pP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30C9EE6C">
            <w:pPr>
              <w:pStyle w:val="20"/>
              <w:ind w:firstLine="567"/>
              <w:rPr>
                <w:sz w:val="25"/>
                <w:szCs w:val="25"/>
              </w:rPr>
            </w:pPr>
            <w:r>
              <w:rPr>
                <w:sz w:val="25"/>
                <w:szCs w:val="25"/>
              </w:rPr>
              <w:t>по учету поступающих доходов</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3CBE2A56">
            <w:pPr>
              <w:pStyle w:val="20"/>
              <w:ind w:firstLine="319"/>
              <w:jc w:val="right"/>
              <w:rPr>
                <w:sz w:val="25"/>
                <w:szCs w:val="25"/>
              </w:rPr>
            </w:pPr>
            <w:r>
              <w:rPr>
                <w:sz w:val="25"/>
                <w:szCs w:val="25"/>
              </w:rPr>
              <w:t>1.21002000, 1.21004000</w:t>
            </w:r>
          </w:p>
        </w:tc>
      </w:tr>
      <w:tr w14:paraId="62C6C090">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75F55C6">
            <w:pPr>
              <w:pStyle w:val="20"/>
              <w:ind w:firstLine="567"/>
              <w:rPr>
                <w:sz w:val="25"/>
                <w:szCs w:val="25"/>
              </w:rPr>
            </w:pPr>
            <w:r>
              <w:rPr>
                <w:sz w:val="25"/>
                <w:szCs w:val="25"/>
              </w:rPr>
              <w:t>2</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3C3BEB4F">
            <w:pPr>
              <w:pStyle w:val="20"/>
              <w:ind w:firstLine="567"/>
              <w:rPr>
                <w:sz w:val="25"/>
                <w:szCs w:val="25"/>
              </w:rPr>
            </w:pPr>
            <w:r>
              <w:rPr>
                <w:sz w:val="25"/>
                <w:szCs w:val="25"/>
              </w:rPr>
              <w:t>- по лицевым счета, открытым в УФК</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1EEDBB0B">
            <w:pPr>
              <w:pStyle w:val="20"/>
              <w:ind w:firstLine="567"/>
              <w:jc w:val="right"/>
              <w:rPr>
                <w:sz w:val="25"/>
                <w:szCs w:val="25"/>
              </w:rPr>
            </w:pPr>
          </w:p>
        </w:tc>
      </w:tr>
      <w:tr w14:paraId="39D19B58">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F4AD63F">
            <w:pPr>
              <w:pStyle w:val="20"/>
              <w:ind w:firstLine="567"/>
              <w:rPr>
                <w:sz w:val="25"/>
                <w:szCs w:val="25"/>
              </w:rPr>
            </w:pP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4301349C">
            <w:pPr>
              <w:pStyle w:val="20"/>
              <w:ind w:firstLine="567"/>
              <w:rPr>
                <w:sz w:val="25"/>
                <w:szCs w:val="25"/>
              </w:rPr>
            </w:pPr>
            <w:r>
              <w:rPr>
                <w:sz w:val="25"/>
                <w:szCs w:val="25"/>
              </w:rPr>
              <w:t>по учету текущих расходов</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49A9B665">
            <w:pPr>
              <w:pStyle w:val="20"/>
              <w:ind w:firstLine="567"/>
              <w:jc w:val="right"/>
              <w:rPr>
                <w:sz w:val="25"/>
                <w:szCs w:val="25"/>
              </w:rPr>
            </w:pPr>
            <w:r>
              <w:rPr>
                <w:sz w:val="25"/>
                <w:szCs w:val="25"/>
              </w:rPr>
              <w:t>1.30405000</w:t>
            </w:r>
          </w:p>
        </w:tc>
      </w:tr>
      <w:tr w14:paraId="2065A90E">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00D9A4C">
            <w:pPr>
              <w:pStyle w:val="20"/>
              <w:ind w:firstLine="567"/>
              <w:rPr>
                <w:sz w:val="25"/>
                <w:szCs w:val="25"/>
              </w:rPr>
            </w:pPr>
            <w:r>
              <w:rPr>
                <w:sz w:val="25"/>
                <w:szCs w:val="25"/>
              </w:rPr>
              <w:t>3</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15FE37CF">
            <w:pPr>
              <w:pStyle w:val="20"/>
              <w:rPr>
                <w:sz w:val="25"/>
                <w:szCs w:val="25"/>
              </w:rPr>
            </w:pPr>
            <w:r>
              <w:rPr>
                <w:sz w:val="25"/>
                <w:szCs w:val="25"/>
              </w:rPr>
              <w:t>Журнал операций расчетов с подотчетными лицами</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483A52BF">
            <w:pPr>
              <w:pStyle w:val="20"/>
              <w:ind w:firstLine="567"/>
              <w:jc w:val="right"/>
              <w:rPr>
                <w:sz w:val="25"/>
                <w:szCs w:val="25"/>
              </w:rPr>
            </w:pPr>
            <w:r>
              <w:rPr>
                <w:sz w:val="25"/>
                <w:szCs w:val="25"/>
              </w:rPr>
              <w:t>1.20800000</w:t>
            </w:r>
          </w:p>
        </w:tc>
      </w:tr>
      <w:tr w14:paraId="5BAC4FEB">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31922BF">
            <w:pPr>
              <w:pStyle w:val="20"/>
              <w:ind w:firstLine="567"/>
              <w:rPr>
                <w:sz w:val="25"/>
                <w:szCs w:val="25"/>
              </w:rPr>
            </w:pPr>
            <w:r>
              <w:rPr>
                <w:sz w:val="25"/>
                <w:szCs w:val="25"/>
              </w:rPr>
              <w:t>4</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5EEE4F81">
            <w:pPr>
              <w:pStyle w:val="20"/>
              <w:rPr>
                <w:sz w:val="25"/>
                <w:szCs w:val="25"/>
              </w:rPr>
            </w:pPr>
            <w:r>
              <w:rPr>
                <w:sz w:val="25"/>
                <w:szCs w:val="25"/>
              </w:rPr>
              <w:t>Журнал операций расчетов с поставщиками и подрядчиками</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2A17E48F">
            <w:pPr>
              <w:pStyle w:val="20"/>
              <w:ind w:firstLine="177"/>
              <w:jc w:val="right"/>
              <w:rPr>
                <w:sz w:val="25"/>
                <w:szCs w:val="25"/>
              </w:rPr>
            </w:pPr>
            <w:r>
              <w:rPr>
                <w:sz w:val="25"/>
                <w:szCs w:val="25"/>
              </w:rPr>
              <w:t>1.20600000, 1.30200000</w:t>
            </w:r>
          </w:p>
        </w:tc>
      </w:tr>
      <w:tr w14:paraId="08BACFE8">
        <w:tblPrEx>
          <w:tblCellMar>
            <w:top w:w="0" w:type="dxa"/>
            <w:left w:w="108" w:type="dxa"/>
            <w:bottom w:w="0" w:type="dxa"/>
            <w:right w:w="108" w:type="dxa"/>
          </w:tblCellMar>
        </w:tblPrEx>
        <w:trPr>
          <w:wBefore w:w="0" w:type="dxa"/>
          <w:wAfter w:w="0" w:type="dxa"/>
          <w:trHeight w:val="387"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4AA0E">
            <w:pPr>
              <w:pStyle w:val="20"/>
              <w:ind w:firstLine="567"/>
              <w:rPr>
                <w:sz w:val="25"/>
                <w:szCs w:val="25"/>
              </w:rPr>
            </w:pPr>
            <w:r>
              <w:rPr>
                <w:sz w:val="25"/>
                <w:szCs w:val="25"/>
              </w:rPr>
              <w:t>5</w:t>
            </w:r>
          </w:p>
        </w:tc>
        <w:tc>
          <w:tcPr>
            <w:tcW w:w="4961" w:type="dxa"/>
            <w:tcBorders>
              <w:top w:val="single" w:color="auto" w:sz="4" w:space="0"/>
              <w:left w:val="nil"/>
              <w:bottom w:val="single" w:color="auto" w:sz="4" w:space="0"/>
              <w:right w:val="single" w:color="auto" w:sz="4" w:space="0"/>
            </w:tcBorders>
            <w:shd w:val="clear" w:color="auto" w:fill="auto"/>
            <w:noWrap/>
            <w:vAlign w:val="center"/>
          </w:tcPr>
          <w:p w14:paraId="22C7933B">
            <w:pPr>
              <w:pStyle w:val="20"/>
              <w:rPr>
                <w:sz w:val="25"/>
                <w:szCs w:val="25"/>
              </w:rPr>
            </w:pPr>
            <w:r>
              <w:rPr>
                <w:sz w:val="25"/>
                <w:szCs w:val="25"/>
              </w:rPr>
              <w:t>Журнал операций расчетов с дебиторами по доходам</w:t>
            </w:r>
          </w:p>
        </w:tc>
        <w:tc>
          <w:tcPr>
            <w:tcW w:w="3261" w:type="dxa"/>
            <w:tcBorders>
              <w:top w:val="single" w:color="auto" w:sz="4" w:space="0"/>
              <w:left w:val="nil"/>
              <w:bottom w:val="single" w:color="auto" w:sz="4" w:space="0"/>
              <w:right w:val="single" w:color="auto" w:sz="4" w:space="0"/>
            </w:tcBorders>
            <w:shd w:val="clear" w:color="auto" w:fill="auto"/>
            <w:noWrap/>
            <w:vAlign w:val="center"/>
          </w:tcPr>
          <w:p w14:paraId="71E12BA9">
            <w:pPr>
              <w:pStyle w:val="20"/>
              <w:ind w:firstLine="177"/>
              <w:jc w:val="right"/>
              <w:rPr>
                <w:sz w:val="25"/>
                <w:szCs w:val="25"/>
              </w:rPr>
            </w:pPr>
            <w:r>
              <w:rPr>
                <w:sz w:val="25"/>
                <w:szCs w:val="25"/>
              </w:rPr>
              <w:t xml:space="preserve">  1.20500000, 1.20930000,    1.20940000, 1.20970000</w:t>
            </w:r>
          </w:p>
        </w:tc>
      </w:tr>
      <w:tr w14:paraId="6134819F">
        <w:tblPrEx>
          <w:tblCellMar>
            <w:top w:w="0" w:type="dxa"/>
            <w:left w:w="108" w:type="dxa"/>
            <w:bottom w:w="0" w:type="dxa"/>
            <w:right w:w="108" w:type="dxa"/>
          </w:tblCellMar>
        </w:tblPrEx>
        <w:trPr>
          <w:wBefore w:w="0" w:type="dxa"/>
          <w:wAfter w:w="0" w:type="dxa"/>
          <w:trHeight w:val="367"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C41AC63">
            <w:pPr>
              <w:pStyle w:val="20"/>
              <w:ind w:firstLine="567"/>
              <w:rPr>
                <w:sz w:val="25"/>
                <w:szCs w:val="25"/>
              </w:rPr>
            </w:pPr>
            <w:r>
              <w:rPr>
                <w:sz w:val="25"/>
                <w:szCs w:val="25"/>
              </w:rPr>
              <w:t>6</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2FCB5411">
            <w:pPr>
              <w:pStyle w:val="20"/>
              <w:ind w:firstLine="39"/>
              <w:rPr>
                <w:sz w:val="25"/>
                <w:szCs w:val="25"/>
              </w:rPr>
            </w:pPr>
            <w:r>
              <w:rPr>
                <w:sz w:val="25"/>
                <w:szCs w:val="25"/>
              </w:rPr>
              <w:t>Журнал операций расчетов по оплате труда, денежному довольствию и стипендиям</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6CAD78DA">
            <w:pPr>
              <w:pStyle w:val="20"/>
              <w:ind w:firstLine="319"/>
              <w:jc w:val="right"/>
              <w:rPr>
                <w:sz w:val="25"/>
                <w:szCs w:val="25"/>
              </w:rPr>
            </w:pPr>
            <w:r>
              <w:rPr>
                <w:sz w:val="25"/>
                <w:szCs w:val="25"/>
              </w:rPr>
              <w:t>1.30210000,1.30260000,</w:t>
            </w:r>
          </w:p>
          <w:p w14:paraId="5F1CB0AB">
            <w:pPr>
              <w:pStyle w:val="20"/>
              <w:ind w:firstLine="319"/>
              <w:jc w:val="right"/>
              <w:rPr>
                <w:sz w:val="25"/>
                <w:szCs w:val="25"/>
              </w:rPr>
            </w:pPr>
            <w:r>
              <w:rPr>
                <w:sz w:val="25"/>
                <w:szCs w:val="25"/>
              </w:rPr>
              <w:t>1.30300000, 1.30403000</w:t>
            </w:r>
          </w:p>
        </w:tc>
      </w:tr>
      <w:tr w14:paraId="0C390E2C">
        <w:tblPrEx>
          <w:tblCellMar>
            <w:top w:w="0" w:type="dxa"/>
            <w:left w:w="108" w:type="dxa"/>
            <w:bottom w:w="0" w:type="dxa"/>
            <w:right w:w="108" w:type="dxa"/>
          </w:tblCellMar>
        </w:tblPrEx>
        <w:trPr>
          <w:wBefore w:w="0" w:type="dxa"/>
          <w:wAfter w:w="0" w:type="dxa"/>
          <w:trHeight w:val="772"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33A1774">
            <w:pPr>
              <w:pStyle w:val="20"/>
              <w:ind w:firstLine="567"/>
              <w:rPr>
                <w:sz w:val="25"/>
                <w:szCs w:val="25"/>
              </w:rPr>
            </w:pPr>
            <w:r>
              <w:rPr>
                <w:sz w:val="25"/>
                <w:szCs w:val="25"/>
              </w:rPr>
              <w:t>7</w:t>
            </w:r>
          </w:p>
          <w:p w14:paraId="624F4D78">
            <w:pPr>
              <w:pStyle w:val="20"/>
              <w:ind w:firstLine="567"/>
              <w:rPr>
                <w:sz w:val="25"/>
                <w:szCs w:val="25"/>
              </w:rPr>
            </w:pP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64C1688D">
            <w:pPr>
              <w:pStyle w:val="20"/>
              <w:ind w:firstLine="39"/>
              <w:rPr>
                <w:sz w:val="25"/>
                <w:szCs w:val="25"/>
              </w:rPr>
            </w:pPr>
            <w:r>
              <w:rPr>
                <w:sz w:val="25"/>
                <w:szCs w:val="25"/>
              </w:rPr>
              <w:t>Журнал операций по выбытию и перемещению нефинансовых активов</w:t>
            </w:r>
          </w:p>
          <w:p w14:paraId="145776A0">
            <w:pPr>
              <w:pStyle w:val="20"/>
              <w:ind w:firstLine="567"/>
              <w:rPr>
                <w:sz w:val="25"/>
                <w:szCs w:val="25"/>
              </w:rPr>
            </w:pPr>
            <w:r>
              <w:rPr>
                <w:sz w:val="25"/>
                <w:szCs w:val="25"/>
              </w:rPr>
              <w:t>- по постановке на баланс основных средств</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7192861E">
            <w:pPr>
              <w:pStyle w:val="20"/>
              <w:ind w:firstLine="460"/>
              <w:jc w:val="right"/>
              <w:rPr>
                <w:sz w:val="25"/>
                <w:szCs w:val="25"/>
              </w:rPr>
            </w:pPr>
            <w:r>
              <w:rPr>
                <w:sz w:val="25"/>
                <w:szCs w:val="25"/>
              </w:rPr>
              <w:t>1.10110000-1.10130000;</w:t>
            </w:r>
          </w:p>
          <w:p w14:paraId="31D6D14E">
            <w:pPr>
              <w:pStyle w:val="20"/>
              <w:ind w:firstLine="567"/>
              <w:jc w:val="right"/>
              <w:rPr>
                <w:sz w:val="25"/>
                <w:szCs w:val="25"/>
              </w:rPr>
            </w:pPr>
            <w:r>
              <w:rPr>
                <w:sz w:val="25"/>
                <w:szCs w:val="25"/>
              </w:rPr>
              <w:t>1.10610000-1.10630000</w:t>
            </w:r>
          </w:p>
        </w:tc>
      </w:tr>
      <w:tr w14:paraId="548D2141">
        <w:tblPrEx>
          <w:tblCellMar>
            <w:top w:w="0" w:type="dxa"/>
            <w:left w:w="108" w:type="dxa"/>
            <w:bottom w:w="0" w:type="dxa"/>
            <w:right w:w="108" w:type="dxa"/>
          </w:tblCellMar>
        </w:tblPrEx>
        <w:trPr>
          <w:wBefore w:w="0" w:type="dxa"/>
          <w:wAfter w:w="0" w:type="dxa"/>
          <w:trHeight w:val="332"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89136">
            <w:pPr>
              <w:pStyle w:val="20"/>
              <w:ind w:firstLine="567"/>
              <w:rPr>
                <w:sz w:val="25"/>
                <w:szCs w:val="25"/>
              </w:rPr>
            </w:pPr>
            <w:r>
              <w:rPr>
                <w:sz w:val="25"/>
                <w:szCs w:val="25"/>
              </w:rPr>
              <w:t>7</w:t>
            </w:r>
          </w:p>
        </w:tc>
        <w:tc>
          <w:tcPr>
            <w:tcW w:w="4961" w:type="dxa"/>
            <w:tcBorders>
              <w:top w:val="single" w:color="auto" w:sz="4" w:space="0"/>
              <w:left w:val="nil"/>
              <w:bottom w:val="single" w:color="auto" w:sz="4" w:space="0"/>
              <w:right w:val="single" w:color="auto" w:sz="4" w:space="0"/>
            </w:tcBorders>
            <w:shd w:val="clear" w:color="auto" w:fill="auto"/>
            <w:noWrap/>
            <w:vAlign w:val="center"/>
          </w:tcPr>
          <w:p w14:paraId="39F5DD7C">
            <w:pPr>
              <w:pStyle w:val="20"/>
              <w:ind w:firstLine="567"/>
              <w:rPr>
                <w:sz w:val="25"/>
                <w:szCs w:val="25"/>
              </w:rPr>
            </w:pPr>
            <w:r>
              <w:rPr>
                <w:sz w:val="25"/>
                <w:szCs w:val="25"/>
              </w:rPr>
              <w:t>- по начислению амортизации</w:t>
            </w:r>
          </w:p>
        </w:tc>
        <w:tc>
          <w:tcPr>
            <w:tcW w:w="3261" w:type="dxa"/>
            <w:tcBorders>
              <w:top w:val="single" w:color="auto" w:sz="4" w:space="0"/>
              <w:left w:val="nil"/>
              <w:bottom w:val="single" w:color="auto" w:sz="4" w:space="0"/>
              <w:right w:val="single" w:color="auto" w:sz="4" w:space="0"/>
            </w:tcBorders>
            <w:shd w:val="clear" w:color="auto" w:fill="auto"/>
            <w:noWrap/>
            <w:vAlign w:val="center"/>
          </w:tcPr>
          <w:p w14:paraId="06E8508C">
            <w:pPr>
              <w:pStyle w:val="20"/>
              <w:ind w:firstLine="567"/>
              <w:jc w:val="right"/>
              <w:rPr>
                <w:sz w:val="25"/>
                <w:szCs w:val="25"/>
              </w:rPr>
            </w:pPr>
            <w:r>
              <w:rPr>
                <w:sz w:val="25"/>
                <w:szCs w:val="25"/>
              </w:rPr>
              <w:t>1.10410000-1.10430000</w:t>
            </w:r>
          </w:p>
        </w:tc>
      </w:tr>
      <w:tr w14:paraId="717B88BE">
        <w:tblPrEx>
          <w:tblCellMar>
            <w:top w:w="0" w:type="dxa"/>
            <w:left w:w="108" w:type="dxa"/>
            <w:bottom w:w="0" w:type="dxa"/>
            <w:right w:w="108" w:type="dxa"/>
          </w:tblCellMar>
        </w:tblPrEx>
        <w:trPr>
          <w:wBefore w:w="0" w:type="dxa"/>
          <w:wAfter w:w="0" w:type="dxa"/>
          <w:trHeight w:val="408"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9E5600D">
            <w:pPr>
              <w:pStyle w:val="20"/>
              <w:ind w:firstLine="567"/>
              <w:rPr>
                <w:sz w:val="25"/>
                <w:szCs w:val="25"/>
              </w:rPr>
            </w:pPr>
            <w:r>
              <w:rPr>
                <w:sz w:val="25"/>
                <w:szCs w:val="25"/>
              </w:rPr>
              <w:t>7</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700F7C7E">
            <w:pPr>
              <w:pStyle w:val="20"/>
              <w:ind w:firstLine="567"/>
              <w:rPr>
                <w:sz w:val="25"/>
                <w:szCs w:val="25"/>
              </w:rPr>
            </w:pPr>
            <w:r>
              <w:rPr>
                <w:sz w:val="25"/>
                <w:szCs w:val="25"/>
              </w:rPr>
              <w:t>- по выбытию и перемещению материальных запасов</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074DC4CA">
            <w:pPr>
              <w:pStyle w:val="20"/>
              <w:ind w:firstLine="567"/>
              <w:jc w:val="right"/>
              <w:rPr>
                <w:sz w:val="25"/>
                <w:szCs w:val="25"/>
              </w:rPr>
            </w:pPr>
            <w:r>
              <w:rPr>
                <w:sz w:val="25"/>
                <w:szCs w:val="25"/>
              </w:rPr>
              <w:t>1.10530000</w:t>
            </w:r>
          </w:p>
        </w:tc>
      </w:tr>
      <w:tr w14:paraId="33DB750C">
        <w:tblPrEx>
          <w:tblCellMar>
            <w:top w:w="0" w:type="dxa"/>
            <w:left w:w="108" w:type="dxa"/>
            <w:bottom w:w="0" w:type="dxa"/>
            <w:right w:w="108" w:type="dxa"/>
          </w:tblCellMar>
        </w:tblPrEx>
        <w:trPr>
          <w:wBefore w:w="0" w:type="dxa"/>
          <w:wAfter w:w="0" w:type="dxa"/>
          <w:trHeight w:val="644"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3C815AA">
            <w:pPr>
              <w:pStyle w:val="20"/>
              <w:ind w:firstLine="567"/>
              <w:rPr>
                <w:color w:val="FF0000"/>
                <w:sz w:val="25"/>
                <w:szCs w:val="25"/>
              </w:rPr>
            </w:pPr>
            <w:r>
              <w:rPr>
                <w:sz w:val="25"/>
                <w:szCs w:val="25"/>
              </w:rPr>
              <w:t>8</w:t>
            </w:r>
          </w:p>
          <w:p w14:paraId="0296BB24">
            <w:pPr>
              <w:pStyle w:val="20"/>
              <w:ind w:firstLine="567"/>
              <w:rPr>
                <w:color w:val="FF0000"/>
                <w:sz w:val="25"/>
                <w:szCs w:val="25"/>
              </w:rPr>
            </w:pP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6CE3AF63">
            <w:pPr>
              <w:pStyle w:val="20"/>
              <w:rPr>
                <w:sz w:val="25"/>
                <w:szCs w:val="25"/>
              </w:rPr>
            </w:pPr>
            <w:r>
              <w:rPr>
                <w:sz w:val="25"/>
                <w:szCs w:val="25"/>
              </w:rPr>
              <w:t>Журнал по прочим операциям</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6C145CF7">
            <w:pPr>
              <w:pStyle w:val="20"/>
              <w:ind w:firstLine="567"/>
              <w:jc w:val="right"/>
              <w:rPr>
                <w:sz w:val="25"/>
                <w:szCs w:val="25"/>
              </w:rPr>
            </w:pPr>
            <w:r>
              <w:rPr>
                <w:sz w:val="25"/>
                <w:szCs w:val="25"/>
              </w:rPr>
              <w:t>1.50100000-1.50400000</w:t>
            </w:r>
          </w:p>
          <w:p w14:paraId="79D89005">
            <w:pPr>
              <w:pStyle w:val="20"/>
              <w:ind w:firstLine="567"/>
              <w:jc w:val="right"/>
              <w:rPr>
                <w:sz w:val="25"/>
                <w:szCs w:val="25"/>
              </w:rPr>
            </w:pPr>
            <w:r>
              <w:rPr>
                <w:sz w:val="25"/>
                <w:szCs w:val="25"/>
              </w:rPr>
              <w:t>1.50700000</w:t>
            </w:r>
          </w:p>
        </w:tc>
      </w:tr>
      <w:tr w14:paraId="78A872DA">
        <w:tblPrEx>
          <w:tblCellMar>
            <w:top w:w="0" w:type="dxa"/>
            <w:left w:w="108" w:type="dxa"/>
            <w:bottom w:w="0" w:type="dxa"/>
            <w:right w:w="108" w:type="dxa"/>
          </w:tblCellMar>
        </w:tblPrEx>
        <w:trPr>
          <w:wBefore w:w="0" w:type="dxa"/>
          <w:wAfter w:w="0" w:type="dxa"/>
          <w:trHeight w:val="43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A694491">
            <w:pPr>
              <w:pStyle w:val="20"/>
              <w:ind w:firstLine="567"/>
              <w:rPr>
                <w:sz w:val="25"/>
                <w:szCs w:val="25"/>
              </w:rPr>
            </w:pPr>
            <w:r>
              <w:rPr>
                <w:sz w:val="25"/>
                <w:szCs w:val="25"/>
              </w:rPr>
              <w:t>8</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6B511EAE">
            <w:pPr>
              <w:pStyle w:val="20"/>
              <w:ind w:firstLine="39"/>
              <w:rPr>
                <w:sz w:val="25"/>
                <w:szCs w:val="25"/>
              </w:rPr>
            </w:pPr>
            <w:r>
              <w:rPr>
                <w:sz w:val="25"/>
                <w:szCs w:val="25"/>
              </w:rPr>
              <w:t>Журнал по прочим операциям</w:t>
            </w:r>
          </w:p>
          <w:p w14:paraId="46808A0A">
            <w:pPr>
              <w:pStyle w:val="20"/>
              <w:ind w:firstLine="567"/>
              <w:rPr>
                <w:sz w:val="25"/>
                <w:szCs w:val="25"/>
              </w:rPr>
            </w:pPr>
            <w:r>
              <w:rPr>
                <w:sz w:val="25"/>
                <w:szCs w:val="25"/>
              </w:rPr>
              <w:t>- по закрытию счетов 31 декабря</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1D8CEAF8">
            <w:pPr>
              <w:pStyle w:val="20"/>
              <w:ind w:firstLine="567"/>
              <w:jc w:val="right"/>
              <w:rPr>
                <w:sz w:val="25"/>
                <w:szCs w:val="25"/>
              </w:rPr>
            </w:pPr>
            <w:r>
              <w:rPr>
                <w:sz w:val="25"/>
                <w:szCs w:val="25"/>
              </w:rPr>
              <w:t>1.40130000</w:t>
            </w:r>
          </w:p>
        </w:tc>
      </w:tr>
      <w:tr w14:paraId="0DB4D1CD">
        <w:tblPrEx>
          <w:tblCellMar>
            <w:top w:w="0" w:type="dxa"/>
            <w:left w:w="108" w:type="dxa"/>
            <w:bottom w:w="0" w:type="dxa"/>
            <w:right w:w="108" w:type="dxa"/>
          </w:tblCellMar>
        </w:tblPrEx>
        <w:trPr>
          <w:wBefore w:w="0" w:type="dxa"/>
          <w:wAfter w:w="0" w:type="dxa"/>
          <w:trHeight w:val="199"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BCB0034">
            <w:pPr>
              <w:pStyle w:val="20"/>
              <w:ind w:firstLine="567"/>
              <w:rPr>
                <w:sz w:val="25"/>
                <w:szCs w:val="25"/>
              </w:rPr>
            </w:pPr>
            <w:r>
              <w:rPr>
                <w:sz w:val="25"/>
                <w:szCs w:val="25"/>
              </w:rPr>
              <w:t>8</w:t>
            </w:r>
          </w:p>
        </w:tc>
        <w:tc>
          <w:tcPr>
            <w:tcW w:w="4961" w:type="dxa"/>
            <w:tcBorders>
              <w:top w:val="single" w:color="auto" w:sz="4" w:space="0"/>
              <w:left w:val="nil"/>
              <w:bottom w:val="single" w:color="auto" w:sz="4" w:space="0"/>
              <w:right w:val="single" w:color="auto" w:sz="4" w:space="0"/>
            </w:tcBorders>
            <w:shd w:val="clear" w:color="auto" w:fill="auto"/>
            <w:noWrap/>
            <w:vAlign w:val="bottom"/>
          </w:tcPr>
          <w:p w14:paraId="4A8422A6">
            <w:pPr>
              <w:pStyle w:val="20"/>
              <w:ind w:firstLine="39"/>
              <w:rPr>
                <w:sz w:val="25"/>
                <w:szCs w:val="25"/>
              </w:rPr>
            </w:pPr>
            <w:r>
              <w:rPr>
                <w:sz w:val="25"/>
                <w:szCs w:val="25"/>
              </w:rPr>
              <w:t>Журнал операций межотчетного периода</w:t>
            </w:r>
          </w:p>
        </w:tc>
        <w:tc>
          <w:tcPr>
            <w:tcW w:w="3261" w:type="dxa"/>
            <w:tcBorders>
              <w:top w:val="single" w:color="auto" w:sz="4" w:space="0"/>
              <w:left w:val="nil"/>
              <w:bottom w:val="single" w:color="auto" w:sz="4" w:space="0"/>
              <w:right w:val="single" w:color="auto" w:sz="4" w:space="0"/>
            </w:tcBorders>
            <w:shd w:val="clear" w:color="auto" w:fill="auto"/>
            <w:noWrap/>
            <w:vAlign w:val="bottom"/>
          </w:tcPr>
          <w:p w14:paraId="23F0CD37">
            <w:pPr>
              <w:pStyle w:val="20"/>
              <w:ind w:firstLine="567"/>
              <w:jc w:val="right"/>
              <w:rPr>
                <w:sz w:val="25"/>
                <w:szCs w:val="25"/>
              </w:rPr>
            </w:pPr>
            <w:r>
              <w:rPr>
                <w:sz w:val="25"/>
                <w:szCs w:val="25"/>
              </w:rPr>
              <w:t>1.40130000</w:t>
            </w:r>
          </w:p>
        </w:tc>
      </w:tr>
      <w:tr w14:paraId="535B983E">
        <w:tblPrEx>
          <w:tblCellMar>
            <w:top w:w="0" w:type="dxa"/>
            <w:left w:w="108" w:type="dxa"/>
            <w:bottom w:w="0" w:type="dxa"/>
            <w:right w:w="108" w:type="dxa"/>
          </w:tblCellMar>
        </w:tblPrEx>
        <w:trPr>
          <w:wBefore w:w="0" w:type="dxa"/>
          <w:wAfter w:w="0" w:type="dxa"/>
          <w:trHeight w:val="901" w:hRule="atLeast"/>
        </w:trPr>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CBA0F">
            <w:pPr>
              <w:pStyle w:val="20"/>
              <w:ind w:firstLine="321"/>
              <w:rPr>
                <w:sz w:val="25"/>
                <w:szCs w:val="25"/>
              </w:rPr>
            </w:pPr>
            <w:r>
              <w:rPr>
                <w:sz w:val="25"/>
                <w:szCs w:val="25"/>
              </w:rPr>
              <w:t>8-ош</w:t>
            </w:r>
          </w:p>
        </w:tc>
        <w:tc>
          <w:tcPr>
            <w:tcW w:w="4961" w:type="dxa"/>
            <w:tcBorders>
              <w:top w:val="single" w:color="auto" w:sz="4" w:space="0"/>
              <w:left w:val="nil"/>
              <w:bottom w:val="single" w:color="auto" w:sz="4" w:space="0"/>
              <w:right w:val="single" w:color="auto" w:sz="4" w:space="0"/>
            </w:tcBorders>
            <w:shd w:val="clear" w:color="auto" w:fill="auto"/>
            <w:noWrap/>
            <w:vAlign w:val="center"/>
          </w:tcPr>
          <w:p w14:paraId="2AC6CA14">
            <w:pPr>
              <w:pStyle w:val="20"/>
              <w:ind w:firstLine="39"/>
              <w:rPr>
                <w:sz w:val="25"/>
                <w:szCs w:val="25"/>
              </w:rPr>
            </w:pPr>
            <w:r>
              <w:rPr>
                <w:sz w:val="25"/>
                <w:szCs w:val="25"/>
              </w:rPr>
              <w:t>Журнал по операциям по исправлению ошибок прошлых лет</w:t>
            </w:r>
          </w:p>
          <w:p w14:paraId="561D224F">
            <w:pPr>
              <w:pStyle w:val="20"/>
              <w:ind w:firstLine="567"/>
              <w:rPr>
                <w:sz w:val="25"/>
                <w:szCs w:val="25"/>
              </w:rPr>
            </w:pPr>
          </w:p>
        </w:tc>
        <w:tc>
          <w:tcPr>
            <w:tcW w:w="3261" w:type="dxa"/>
            <w:tcBorders>
              <w:top w:val="single" w:color="auto" w:sz="4" w:space="0"/>
              <w:left w:val="nil"/>
              <w:bottom w:val="single" w:color="auto" w:sz="4" w:space="0"/>
              <w:right w:val="single" w:color="auto" w:sz="4" w:space="0"/>
            </w:tcBorders>
            <w:shd w:val="clear" w:color="auto" w:fill="auto"/>
            <w:noWrap/>
            <w:vAlign w:val="center"/>
          </w:tcPr>
          <w:p w14:paraId="50853AE6">
            <w:pPr>
              <w:pStyle w:val="20"/>
              <w:ind w:firstLine="177"/>
              <w:jc w:val="right"/>
              <w:rPr>
                <w:sz w:val="25"/>
                <w:szCs w:val="25"/>
              </w:rPr>
            </w:pPr>
            <w:r>
              <w:rPr>
                <w:sz w:val="25"/>
                <w:szCs w:val="25"/>
              </w:rPr>
              <w:t>1.30486000,1.30496000</w:t>
            </w:r>
          </w:p>
          <w:p w14:paraId="49C5F7F9">
            <w:pPr>
              <w:pStyle w:val="20"/>
              <w:ind w:firstLine="177"/>
              <w:jc w:val="right"/>
              <w:rPr>
                <w:sz w:val="25"/>
                <w:szCs w:val="25"/>
              </w:rPr>
            </w:pPr>
            <w:r>
              <w:rPr>
                <w:sz w:val="25"/>
                <w:szCs w:val="25"/>
              </w:rPr>
              <w:t>1.40118000,1.40119000,</w:t>
            </w:r>
          </w:p>
          <w:p w14:paraId="2A0DF18D">
            <w:pPr>
              <w:pStyle w:val="20"/>
              <w:ind w:firstLine="177"/>
              <w:jc w:val="right"/>
              <w:rPr>
                <w:sz w:val="25"/>
                <w:szCs w:val="25"/>
              </w:rPr>
            </w:pPr>
            <w:r>
              <w:rPr>
                <w:sz w:val="25"/>
                <w:szCs w:val="25"/>
              </w:rPr>
              <w:t>1.40128000, 1.40129000</w:t>
            </w:r>
          </w:p>
        </w:tc>
      </w:tr>
    </w:tbl>
    <w:p w14:paraId="31C71999">
      <w:pPr>
        <w:pStyle w:val="20"/>
        <w:ind w:firstLine="567"/>
        <w:jc w:val="both"/>
        <w:rPr>
          <w:sz w:val="12"/>
          <w:szCs w:val="12"/>
        </w:rPr>
      </w:pPr>
    </w:p>
    <w:p w14:paraId="09705587">
      <w:pPr>
        <w:pStyle w:val="20"/>
        <w:ind w:firstLine="567"/>
        <w:jc w:val="both"/>
        <w:rPr>
          <w:sz w:val="25"/>
          <w:szCs w:val="25"/>
        </w:rPr>
      </w:pPr>
      <w:r>
        <w:rPr>
          <w:sz w:val="25"/>
          <w:szCs w:val="25"/>
        </w:rPr>
        <w:t>2.10. Периодичность выведения первичных (сводных) учетных документов, регистров бухгалтерского учета, бюджетной, статистической и иной отчетности                   на бумажные носители:</w:t>
      </w:r>
    </w:p>
    <w:p w14:paraId="219B3AA9">
      <w:pPr>
        <w:pStyle w:val="20"/>
        <w:ind w:firstLine="567"/>
        <w:jc w:val="both"/>
        <w:rPr>
          <w:sz w:val="25"/>
          <w:szCs w:val="25"/>
        </w:rPr>
      </w:pPr>
      <w:r>
        <w:rPr>
          <w:sz w:val="25"/>
          <w:szCs w:val="25"/>
        </w:rPr>
        <w:t xml:space="preserve">     - выписковые по всем лицевым счетам и платежные документы по ним - не позднее трех рабочих дней, следующего за днем получения выписок из лицевых счетов                        из Департамента финансов города Москвы и Управления Федерального казначейства по городу Москве;</w:t>
      </w:r>
    </w:p>
    <w:p w14:paraId="1CABAF7D">
      <w:pPr>
        <w:pStyle w:val="20"/>
        <w:ind w:firstLine="567"/>
        <w:jc w:val="both"/>
        <w:rPr>
          <w:sz w:val="25"/>
          <w:szCs w:val="25"/>
        </w:rPr>
      </w:pPr>
      <w:r>
        <w:rPr>
          <w:sz w:val="25"/>
          <w:szCs w:val="25"/>
        </w:rPr>
        <w:t xml:space="preserve">     - расчетно-платежные ведомости, сводные расчетно-платежные ведомости                         по начислению заработной платы и иных выплат сотрудникам администрации - не позднее последнего рабочего дня расчетного месяца;</w:t>
      </w:r>
    </w:p>
    <w:p w14:paraId="2B99BD5A">
      <w:pPr>
        <w:pStyle w:val="20"/>
        <w:ind w:firstLine="567"/>
        <w:jc w:val="both"/>
        <w:rPr>
          <w:sz w:val="25"/>
          <w:szCs w:val="25"/>
        </w:rPr>
      </w:pPr>
      <w:r>
        <w:rPr>
          <w:sz w:val="25"/>
          <w:szCs w:val="25"/>
        </w:rPr>
        <w:t xml:space="preserve">     - журналы операций, сводные и оборотные ведомости - в течение 30 дней, следующего за отчетным месяцем;</w:t>
      </w:r>
    </w:p>
    <w:p w14:paraId="6426BE3B">
      <w:pPr>
        <w:pStyle w:val="20"/>
        <w:ind w:firstLine="567"/>
        <w:jc w:val="both"/>
        <w:rPr>
          <w:sz w:val="25"/>
          <w:szCs w:val="25"/>
        </w:rPr>
      </w:pPr>
      <w:r>
        <w:rPr>
          <w:sz w:val="25"/>
          <w:szCs w:val="25"/>
        </w:rPr>
        <w:t xml:space="preserve">     - Главная книга: на бумажный носитель выводится ежемесячно и после завершения текущего финансового года перед составлением годовой бюджетной отчетности;</w:t>
      </w:r>
    </w:p>
    <w:p w14:paraId="03049735">
      <w:pPr>
        <w:pStyle w:val="20"/>
        <w:ind w:firstLine="567"/>
        <w:jc w:val="both"/>
        <w:rPr>
          <w:sz w:val="25"/>
          <w:szCs w:val="25"/>
        </w:rPr>
      </w:pPr>
      <w:r>
        <w:rPr>
          <w:sz w:val="25"/>
          <w:szCs w:val="25"/>
        </w:rPr>
        <w:t xml:space="preserve">     - инвентарные карточки учета нефинансовых активов (ф.0504031) ведутся                            в электронном виде, выводятся на бумажный носитель при их закрытии (выбытии инвентарного объекта), а также по мере необходимости или по запросу контролирующих органов;</w:t>
      </w:r>
    </w:p>
    <w:p w14:paraId="0E72C0CE">
      <w:pPr>
        <w:pStyle w:val="20"/>
        <w:ind w:firstLine="567"/>
        <w:jc w:val="both"/>
        <w:rPr>
          <w:sz w:val="25"/>
          <w:szCs w:val="25"/>
        </w:rPr>
      </w:pPr>
      <w:r>
        <w:rPr>
          <w:sz w:val="25"/>
          <w:szCs w:val="25"/>
        </w:rPr>
        <w:t xml:space="preserve">     - карточки-справки (ф.0504417) - один раз в год, в течение месяца после сдачи годовой бюджетной отчетности;</w:t>
      </w:r>
    </w:p>
    <w:p w14:paraId="2C773C17">
      <w:pPr>
        <w:pStyle w:val="20"/>
        <w:ind w:firstLine="567"/>
        <w:jc w:val="both"/>
        <w:rPr>
          <w:sz w:val="25"/>
          <w:szCs w:val="25"/>
        </w:rPr>
      </w:pPr>
      <w:r>
        <w:rPr>
          <w:sz w:val="25"/>
          <w:szCs w:val="25"/>
        </w:rPr>
        <w:t xml:space="preserve">     - бухгалтерскую ежемесячную, квартальную, годовую бухгалтерскую отчетность хранить в электронном и бумажном виде;</w:t>
      </w:r>
    </w:p>
    <w:p w14:paraId="24F57A07">
      <w:pPr>
        <w:pStyle w:val="20"/>
        <w:ind w:firstLine="567"/>
        <w:jc w:val="both"/>
        <w:rPr>
          <w:sz w:val="25"/>
          <w:szCs w:val="25"/>
        </w:rPr>
      </w:pPr>
      <w:r>
        <w:rPr>
          <w:sz w:val="25"/>
          <w:szCs w:val="25"/>
        </w:rPr>
        <w:t xml:space="preserve">     - бюджетная, статистическая и иная отчетность - не позднее одного месяца после сдачи отчетности.</w:t>
      </w:r>
    </w:p>
    <w:p w14:paraId="5618CB57">
      <w:pPr>
        <w:pStyle w:val="20"/>
        <w:ind w:firstLine="567"/>
        <w:jc w:val="both"/>
        <w:rPr>
          <w:sz w:val="25"/>
          <w:szCs w:val="25"/>
        </w:rPr>
      </w:pPr>
      <w:r>
        <w:rPr>
          <w:sz w:val="25"/>
          <w:szCs w:val="25"/>
        </w:rPr>
        <w:t>2.11. В случае обнаружения пропажи или уничтожения первичных документов                      в бухгалтерии сотрудникам администрации следует незамедлительно сообщить об этом главе администрации муниципального округа и главному бухгалтеру.</w:t>
      </w:r>
    </w:p>
    <w:p w14:paraId="7F91EEF5">
      <w:pPr>
        <w:pStyle w:val="20"/>
        <w:ind w:firstLine="567"/>
        <w:jc w:val="both"/>
        <w:rPr>
          <w:sz w:val="25"/>
          <w:szCs w:val="25"/>
        </w:rPr>
      </w:pPr>
      <w:r>
        <w:rPr>
          <w:sz w:val="25"/>
          <w:szCs w:val="25"/>
        </w:rPr>
        <w:t>2.12. Бухгалтерская отчетность заинтересованным пользователям представляется                    в электронном виде или на бумажных носителях.</w:t>
      </w:r>
      <w:r>
        <w:rPr>
          <w:sz w:val="25"/>
          <w:szCs w:val="25"/>
        </w:rPr>
        <w:tab/>
      </w:r>
    </w:p>
    <w:p w14:paraId="1C53F2D2">
      <w:pPr>
        <w:pStyle w:val="20"/>
        <w:ind w:firstLine="567"/>
        <w:jc w:val="both"/>
        <w:rPr>
          <w:sz w:val="25"/>
          <w:szCs w:val="25"/>
        </w:rPr>
      </w:pPr>
      <w:r>
        <w:rPr>
          <w:sz w:val="25"/>
          <w:szCs w:val="25"/>
        </w:rPr>
        <w:t xml:space="preserve">2.13. Право подписи банковских документов имеют: </w:t>
      </w:r>
    </w:p>
    <w:p w14:paraId="5EE06269">
      <w:pPr>
        <w:pStyle w:val="20"/>
        <w:ind w:firstLine="567"/>
        <w:jc w:val="both"/>
        <w:rPr>
          <w:sz w:val="25"/>
          <w:szCs w:val="25"/>
        </w:rPr>
      </w:pPr>
      <w:r>
        <w:rPr>
          <w:sz w:val="25"/>
          <w:szCs w:val="25"/>
        </w:rPr>
        <w:t>первой подписи – глава администрации муниципального округа Останкинский;</w:t>
      </w:r>
    </w:p>
    <w:p w14:paraId="3D5AE9AC">
      <w:pPr>
        <w:pStyle w:val="20"/>
        <w:ind w:firstLine="567"/>
        <w:jc w:val="both"/>
        <w:rPr>
          <w:sz w:val="25"/>
          <w:szCs w:val="25"/>
        </w:rPr>
      </w:pPr>
      <w:r>
        <w:rPr>
          <w:sz w:val="25"/>
          <w:szCs w:val="25"/>
        </w:rPr>
        <w:t xml:space="preserve">второй подписи – главный бухгалтер – начальник отдела. </w:t>
      </w:r>
    </w:p>
    <w:p w14:paraId="1870DB47">
      <w:pPr>
        <w:pStyle w:val="20"/>
        <w:ind w:firstLine="567"/>
        <w:jc w:val="both"/>
        <w:rPr>
          <w:sz w:val="25"/>
          <w:szCs w:val="25"/>
        </w:rPr>
      </w:pPr>
      <w:r>
        <w:rPr>
          <w:sz w:val="25"/>
          <w:szCs w:val="25"/>
        </w:rPr>
        <w:t>Виды используемых подписей:</w:t>
      </w:r>
    </w:p>
    <w:p w14:paraId="7BB5D0B8">
      <w:pPr>
        <w:pStyle w:val="20"/>
        <w:ind w:firstLine="567"/>
        <w:jc w:val="both"/>
        <w:rPr>
          <w:sz w:val="25"/>
          <w:szCs w:val="25"/>
        </w:rPr>
      </w:pPr>
      <w:r>
        <w:rPr>
          <w:sz w:val="25"/>
          <w:szCs w:val="25"/>
        </w:rPr>
        <w:t>- усиленная квалифицированная подпись с использованием сертификата юридического лица – глава администрации;</w:t>
      </w:r>
    </w:p>
    <w:p w14:paraId="0BC08274">
      <w:pPr>
        <w:tabs>
          <w:tab w:val="left" w:pos="993"/>
        </w:tabs>
        <w:ind w:firstLine="567"/>
        <w:rPr>
          <w:sz w:val="25"/>
          <w:szCs w:val="25"/>
        </w:rPr>
      </w:pPr>
      <w:r>
        <w:rPr>
          <w:sz w:val="25"/>
          <w:szCs w:val="25"/>
        </w:rPr>
        <w:t>- усиленная квалифицированная подпись с использованием сертификата должностного лица – иные должностные лица.</w:t>
      </w:r>
    </w:p>
    <w:p w14:paraId="75CA37B2">
      <w:pPr>
        <w:pStyle w:val="20"/>
        <w:ind w:firstLine="567"/>
        <w:jc w:val="both"/>
        <w:rPr>
          <w:sz w:val="25"/>
          <w:szCs w:val="25"/>
        </w:rPr>
      </w:pPr>
      <w:r>
        <w:rPr>
          <w:sz w:val="25"/>
          <w:szCs w:val="25"/>
        </w:rPr>
        <w:t>2.14. Право подписи финансово-хозяйственных документов, договоров                                      и контрактов, актов о выполнении работ, оказании услуг имеет: глава администрации муниципального округа Останкинский.</w:t>
      </w:r>
    </w:p>
    <w:p w14:paraId="67DA4795">
      <w:pPr>
        <w:pStyle w:val="20"/>
        <w:ind w:firstLine="567"/>
        <w:jc w:val="both"/>
        <w:rPr>
          <w:sz w:val="25"/>
          <w:szCs w:val="25"/>
        </w:rPr>
      </w:pPr>
      <w:r>
        <w:rPr>
          <w:sz w:val="25"/>
          <w:szCs w:val="25"/>
        </w:rPr>
        <w:t xml:space="preserve">2.15. Бюджетный учет ведется в соответствии с рабочим планом счетов (приложение 1 к Учетной политике), разработанным на основе единого плана счетов бухгалтерского учета, утвержденного Инструкцией 157н и плана счетов бюджетного учета, утвержденного Инструкцией № 162н с использованием информационной системы бюджетного учета УАИС «Бюджетный учет» на платформе «1С». </w:t>
      </w:r>
    </w:p>
    <w:p w14:paraId="366A5008">
      <w:pPr>
        <w:pStyle w:val="20"/>
        <w:ind w:firstLine="567"/>
        <w:jc w:val="both"/>
        <w:rPr>
          <w:sz w:val="25"/>
          <w:szCs w:val="25"/>
        </w:rPr>
      </w:pPr>
      <w:r>
        <w:rPr>
          <w:sz w:val="25"/>
          <w:szCs w:val="25"/>
        </w:rPr>
        <w:t>2.16. Перечисление платежей осуществляется с применением информационного взаимодействия ПИВ АСУ ГФ Департамента финансов города Москвы в составе автоматизированной системы управления городскими финансами) и СУФД (Система удаленного финансового документооборота) Управления Федерального казначейства по городу Москве с применением квалифицированных электронных подписей.</w:t>
      </w:r>
    </w:p>
    <w:p w14:paraId="132DB463">
      <w:pPr>
        <w:pStyle w:val="20"/>
        <w:ind w:firstLine="567"/>
        <w:jc w:val="both"/>
        <w:rPr>
          <w:sz w:val="25"/>
          <w:szCs w:val="25"/>
        </w:rPr>
      </w:pPr>
    </w:p>
    <w:p w14:paraId="72D5A0F2">
      <w:pPr>
        <w:pStyle w:val="20"/>
        <w:ind w:firstLine="567"/>
        <w:jc w:val="center"/>
        <w:rPr>
          <w:b/>
          <w:sz w:val="25"/>
          <w:szCs w:val="25"/>
        </w:rPr>
      </w:pPr>
      <w:r>
        <w:rPr>
          <w:b/>
          <w:sz w:val="25"/>
          <w:szCs w:val="25"/>
        </w:rPr>
        <w:t>3. Учет нефинансовых активов</w:t>
      </w:r>
    </w:p>
    <w:p w14:paraId="15706D70">
      <w:pPr>
        <w:pStyle w:val="20"/>
        <w:ind w:firstLine="567"/>
        <w:jc w:val="both"/>
        <w:rPr>
          <w:sz w:val="16"/>
          <w:szCs w:val="16"/>
        </w:rPr>
      </w:pPr>
    </w:p>
    <w:p w14:paraId="6BA36AEA">
      <w:pPr>
        <w:pStyle w:val="20"/>
        <w:ind w:firstLine="567"/>
        <w:jc w:val="both"/>
        <w:rPr>
          <w:sz w:val="25"/>
          <w:szCs w:val="25"/>
        </w:rPr>
      </w:pPr>
      <w:r>
        <w:rPr>
          <w:sz w:val="25"/>
          <w:szCs w:val="25"/>
        </w:rPr>
        <w:t>Нефинансовые активы администрации для целей настоящего раздела - основные средства, непроизведенные активы, материальные запасы и вложения в нефинансовые активы.</w:t>
      </w:r>
    </w:p>
    <w:p w14:paraId="42D52049">
      <w:pPr>
        <w:pStyle w:val="20"/>
        <w:ind w:firstLine="567"/>
        <w:jc w:val="both"/>
        <w:rPr>
          <w:sz w:val="25"/>
          <w:szCs w:val="25"/>
        </w:rPr>
      </w:pPr>
      <w:r>
        <w:rPr>
          <w:sz w:val="25"/>
          <w:szCs w:val="25"/>
        </w:rPr>
        <w:t>В целях контроля за сохранностью и движением нефинансовых активов и иного имущества создана постоянно действующая комиссия по поступлению и выбытию нефинансовых активов (далее - Комиссия).</w:t>
      </w:r>
    </w:p>
    <w:p w14:paraId="0A28F2EC">
      <w:pPr>
        <w:pStyle w:val="20"/>
        <w:ind w:firstLine="567"/>
        <w:jc w:val="both"/>
        <w:rPr>
          <w:sz w:val="25"/>
          <w:szCs w:val="25"/>
        </w:rPr>
      </w:pPr>
      <w:r>
        <w:rPr>
          <w:sz w:val="25"/>
          <w:szCs w:val="25"/>
        </w:rPr>
        <w:t xml:space="preserve">     Состав комиссии:</w:t>
      </w:r>
    </w:p>
    <w:p w14:paraId="727D075D">
      <w:pPr>
        <w:pStyle w:val="20"/>
        <w:ind w:firstLine="567"/>
        <w:jc w:val="both"/>
        <w:rPr>
          <w:sz w:val="25"/>
          <w:szCs w:val="25"/>
        </w:rPr>
      </w:pPr>
      <w:r>
        <w:rPr>
          <w:sz w:val="25"/>
          <w:szCs w:val="25"/>
        </w:rPr>
        <w:t>-  председатель комиссии – глава администрации.</w:t>
      </w:r>
    </w:p>
    <w:p w14:paraId="20FFE88F">
      <w:pPr>
        <w:pStyle w:val="20"/>
        <w:ind w:firstLine="567"/>
        <w:jc w:val="both"/>
        <w:rPr>
          <w:sz w:val="25"/>
          <w:szCs w:val="25"/>
        </w:rPr>
      </w:pPr>
      <w:r>
        <w:rPr>
          <w:sz w:val="25"/>
          <w:szCs w:val="25"/>
        </w:rPr>
        <w:t>- члены комиссии: главный бухгалтер, юрисконсульт.</w:t>
      </w:r>
    </w:p>
    <w:p w14:paraId="6348770C">
      <w:pPr>
        <w:pStyle w:val="20"/>
        <w:ind w:firstLine="567"/>
        <w:jc w:val="both"/>
        <w:rPr>
          <w:sz w:val="25"/>
          <w:szCs w:val="25"/>
        </w:rPr>
      </w:pPr>
      <w:r>
        <w:rPr>
          <w:sz w:val="25"/>
          <w:szCs w:val="25"/>
        </w:rPr>
        <w:t>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p>
    <w:p w14:paraId="717D5635">
      <w:pPr>
        <w:pStyle w:val="20"/>
        <w:ind w:firstLine="567"/>
        <w:jc w:val="both"/>
        <w:rPr>
          <w:sz w:val="25"/>
          <w:szCs w:val="25"/>
        </w:rPr>
      </w:pPr>
      <w:r>
        <w:rPr>
          <w:sz w:val="25"/>
          <w:szCs w:val="25"/>
        </w:rPr>
        <w:t>Заседания комиссии проводятся по мере необходимости.</w:t>
      </w:r>
    </w:p>
    <w:p w14:paraId="10F98B24">
      <w:pPr>
        <w:pStyle w:val="20"/>
        <w:ind w:firstLine="567"/>
        <w:jc w:val="both"/>
        <w:rPr>
          <w:sz w:val="25"/>
          <w:szCs w:val="25"/>
        </w:rPr>
      </w:pPr>
      <w:r>
        <w:rPr>
          <w:sz w:val="25"/>
          <w:szCs w:val="25"/>
        </w:rPr>
        <w:t>Срок рассмотрения комиссией представленных ей документов не должен превышать 10 календарных дней.</w:t>
      </w:r>
    </w:p>
    <w:p w14:paraId="31E6BF3C">
      <w:pPr>
        <w:pStyle w:val="20"/>
        <w:ind w:firstLine="567"/>
        <w:jc w:val="both"/>
        <w:rPr>
          <w:sz w:val="25"/>
          <w:szCs w:val="25"/>
        </w:rPr>
      </w:pPr>
      <w:r>
        <w:rPr>
          <w:sz w:val="25"/>
          <w:szCs w:val="25"/>
        </w:rPr>
        <w:t>Заседание комиссии правомочно при наличии на ее заседании не менее двух третей ее состава.</w:t>
      </w:r>
    </w:p>
    <w:p w14:paraId="58758B1F">
      <w:pPr>
        <w:pStyle w:val="20"/>
        <w:ind w:firstLine="567"/>
        <w:jc w:val="both"/>
        <w:rPr>
          <w:sz w:val="25"/>
          <w:szCs w:val="25"/>
        </w:rPr>
      </w:pPr>
      <w:r>
        <w:rPr>
          <w:sz w:val="25"/>
          <w:szCs w:val="25"/>
        </w:rPr>
        <w:t>В случае отсутствия в учреждении работников, обладающих специальными знаниями, для участия в заседаниях комиссии могут приглашаться эксперты. Эксперты включаются в состав комиссии на добровольной основе.</w:t>
      </w:r>
    </w:p>
    <w:p w14:paraId="6A650D4C">
      <w:pPr>
        <w:pStyle w:val="20"/>
        <w:ind w:firstLine="567"/>
        <w:jc w:val="both"/>
        <w:rPr>
          <w:sz w:val="25"/>
          <w:szCs w:val="25"/>
        </w:rPr>
      </w:pPr>
      <w:r>
        <w:rPr>
          <w:sz w:val="25"/>
          <w:szCs w:val="25"/>
        </w:rPr>
        <w:t>Экспертом не может быть работник учреждения, на которого возложены обязанности, связанные с непосредственной материальной ответственностью                            за материальные ценности.</w:t>
      </w:r>
    </w:p>
    <w:p w14:paraId="34128A22">
      <w:pPr>
        <w:pStyle w:val="20"/>
        <w:ind w:firstLine="567"/>
        <w:jc w:val="both"/>
        <w:rPr>
          <w:sz w:val="25"/>
          <w:szCs w:val="25"/>
        </w:rPr>
      </w:pPr>
    </w:p>
    <w:p w14:paraId="54165930">
      <w:pPr>
        <w:pStyle w:val="20"/>
        <w:ind w:firstLine="567"/>
        <w:jc w:val="center"/>
        <w:rPr>
          <w:b/>
          <w:sz w:val="25"/>
          <w:szCs w:val="25"/>
        </w:rPr>
      </w:pPr>
      <w:r>
        <w:rPr>
          <w:b/>
          <w:sz w:val="25"/>
          <w:szCs w:val="25"/>
        </w:rPr>
        <w:t>4. Принятие решений по поступлению активов</w:t>
      </w:r>
    </w:p>
    <w:p w14:paraId="1203853A">
      <w:pPr>
        <w:pStyle w:val="20"/>
        <w:ind w:firstLine="567"/>
        <w:jc w:val="both"/>
        <w:rPr>
          <w:sz w:val="16"/>
          <w:szCs w:val="16"/>
        </w:rPr>
      </w:pPr>
    </w:p>
    <w:p w14:paraId="3EBBA20C">
      <w:pPr>
        <w:pStyle w:val="20"/>
        <w:ind w:firstLine="567"/>
        <w:jc w:val="both"/>
        <w:rPr>
          <w:sz w:val="25"/>
          <w:szCs w:val="25"/>
        </w:rPr>
      </w:pPr>
      <w:r>
        <w:rPr>
          <w:sz w:val="25"/>
          <w:szCs w:val="25"/>
        </w:rPr>
        <w:t>В части поступления активов комиссия принимает решения по следующим вопросам:</w:t>
      </w:r>
    </w:p>
    <w:p w14:paraId="02788432">
      <w:pPr>
        <w:pStyle w:val="20"/>
        <w:ind w:firstLine="567"/>
        <w:jc w:val="both"/>
        <w:rPr>
          <w:sz w:val="25"/>
          <w:szCs w:val="25"/>
        </w:rPr>
      </w:pPr>
      <w:r>
        <w:rPr>
          <w:sz w:val="25"/>
          <w:szCs w:val="25"/>
        </w:rPr>
        <w:t>- определение справедливой стоимости безвозмездно полученного имущества;</w:t>
      </w:r>
    </w:p>
    <w:p w14:paraId="0FE29493">
      <w:pPr>
        <w:pStyle w:val="20"/>
        <w:ind w:firstLine="567"/>
        <w:jc w:val="both"/>
        <w:rPr>
          <w:sz w:val="25"/>
          <w:szCs w:val="25"/>
        </w:rPr>
      </w:pPr>
      <w:r>
        <w:rPr>
          <w:sz w:val="25"/>
          <w:szCs w:val="25"/>
        </w:rPr>
        <w:t>- определение срока полезного использования имущества в целях начисления                      по нему амортизации в случаях отсутствия информации в законодательстве РФ                           и в документах производителя;</w:t>
      </w:r>
    </w:p>
    <w:p w14:paraId="0E4546FB">
      <w:pPr>
        <w:pStyle w:val="20"/>
        <w:ind w:firstLine="567"/>
        <w:jc w:val="both"/>
        <w:rPr>
          <w:sz w:val="25"/>
          <w:szCs w:val="25"/>
        </w:rPr>
      </w:pPr>
      <w:r>
        <w:rPr>
          <w:sz w:val="25"/>
          <w:szCs w:val="25"/>
        </w:rPr>
        <w:t>- изменение первоначально принятых нормативных показателей функционирования объекта основных средств, в том числе в результате проведенных достройки, дооборудования, реконструкции или модернизации.</w:t>
      </w:r>
    </w:p>
    <w:p w14:paraId="4C9B0149">
      <w:pPr>
        <w:pStyle w:val="20"/>
        <w:ind w:firstLine="567"/>
        <w:jc w:val="both"/>
        <w:rPr>
          <w:sz w:val="25"/>
          <w:szCs w:val="25"/>
        </w:rPr>
      </w:pPr>
      <w:r>
        <w:rPr>
          <w:sz w:val="25"/>
          <w:szCs w:val="25"/>
        </w:rPr>
        <w:t>Первоначальной стоимостью нефинансовых активов, поступивших                            по договорам дарения, пожертвования, признается их справедливая стоимость на дату принятия к бюджетному учету.</w:t>
      </w:r>
    </w:p>
    <w:p w14:paraId="39BB3772">
      <w:pPr>
        <w:pStyle w:val="20"/>
        <w:ind w:firstLine="567"/>
        <w:jc w:val="both"/>
        <w:rPr>
          <w:sz w:val="25"/>
          <w:szCs w:val="25"/>
        </w:rPr>
      </w:pPr>
      <w:r>
        <w:rPr>
          <w:sz w:val="25"/>
          <w:szCs w:val="25"/>
        </w:rPr>
        <w:t>Первоначальной стоимостью нефинансовых активов, оприходованных в виде выявленных при инвентаризации излишков, признается их справедливая стоимость                                на дату принятия к бюджетному учету.</w:t>
      </w:r>
    </w:p>
    <w:p w14:paraId="48744F85">
      <w:pPr>
        <w:pStyle w:val="20"/>
        <w:ind w:firstLine="567"/>
        <w:jc w:val="both"/>
        <w:rPr>
          <w:sz w:val="25"/>
          <w:szCs w:val="25"/>
        </w:rPr>
      </w:pPr>
      <w:r>
        <w:rPr>
          <w:sz w:val="25"/>
          <w:szCs w:val="25"/>
        </w:rPr>
        <w:t>Размер ущерба от недостач, хищений, порчи, подлежащих возмещению виновными лицами, определяется как справедливая стоимость имущества на день обнаружения ущерба.</w:t>
      </w:r>
    </w:p>
    <w:p w14:paraId="619CCED2">
      <w:pPr>
        <w:pStyle w:val="20"/>
        <w:ind w:firstLine="567"/>
        <w:jc w:val="both"/>
        <w:rPr>
          <w:sz w:val="25"/>
          <w:szCs w:val="25"/>
        </w:rPr>
      </w:pPr>
      <w:r>
        <w:rPr>
          <w:sz w:val="25"/>
          <w:szCs w:val="25"/>
        </w:rPr>
        <w:t>Справедливая стоимость имущества определяется комиссией по поступлению                     и выбытию активов методом рыночных цен.</w:t>
      </w:r>
    </w:p>
    <w:p w14:paraId="3E3A8EBF">
      <w:pPr>
        <w:pStyle w:val="20"/>
        <w:ind w:firstLine="567"/>
        <w:jc w:val="both"/>
        <w:rPr>
          <w:sz w:val="25"/>
          <w:szCs w:val="25"/>
        </w:rPr>
      </w:pPr>
      <w:r>
        <w:rPr>
          <w:sz w:val="25"/>
          <w:szCs w:val="25"/>
        </w:rPr>
        <w:t>В случае достройки, реконструкции, модернизации объектов основных средств производится увеличение их первоначальной стоимости на сумму сформированных капитальных вложений в эти объекты.</w:t>
      </w:r>
    </w:p>
    <w:p w14:paraId="53F5103C">
      <w:pPr>
        <w:pStyle w:val="20"/>
        <w:ind w:firstLine="567"/>
        <w:jc w:val="both"/>
        <w:rPr>
          <w:sz w:val="25"/>
          <w:szCs w:val="25"/>
        </w:rPr>
      </w:pPr>
      <w:r>
        <w:rPr>
          <w:sz w:val="25"/>
          <w:szCs w:val="25"/>
        </w:rPr>
        <w:t>Если первоначально принятые нормативные показатели функционирования объекта основных средств изменяются, в том числе в результате проведенной достройки, дооборудования, реконструкции или модернизации, комиссия пересматривает срок полезного использования по этому объекту.</w:t>
      </w:r>
    </w:p>
    <w:p w14:paraId="5E6BC155">
      <w:pPr>
        <w:pStyle w:val="20"/>
        <w:ind w:firstLine="567"/>
        <w:jc w:val="both"/>
        <w:rPr>
          <w:sz w:val="25"/>
          <w:szCs w:val="25"/>
        </w:rPr>
      </w:pPr>
    </w:p>
    <w:p w14:paraId="01D4C58C">
      <w:pPr>
        <w:pStyle w:val="20"/>
        <w:ind w:firstLine="567"/>
        <w:jc w:val="center"/>
        <w:rPr>
          <w:b/>
          <w:sz w:val="25"/>
          <w:szCs w:val="25"/>
        </w:rPr>
      </w:pPr>
      <w:r>
        <w:rPr>
          <w:b/>
          <w:sz w:val="25"/>
          <w:szCs w:val="25"/>
        </w:rPr>
        <w:t>5. Принятие решений по выбытию (списанию) нефинансовых активов</w:t>
      </w:r>
    </w:p>
    <w:p w14:paraId="3AC0908A">
      <w:pPr>
        <w:pStyle w:val="20"/>
        <w:ind w:firstLine="567"/>
        <w:jc w:val="both"/>
        <w:rPr>
          <w:sz w:val="16"/>
          <w:szCs w:val="16"/>
        </w:rPr>
      </w:pPr>
    </w:p>
    <w:p w14:paraId="046CCC4D">
      <w:pPr>
        <w:pStyle w:val="20"/>
        <w:ind w:firstLine="567"/>
        <w:jc w:val="both"/>
        <w:rPr>
          <w:sz w:val="25"/>
          <w:szCs w:val="25"/>
        </w:rPr>
      </w:pPr>
      <w:r>
        <w:rPr>
          <w:sz w:val="25"/>
          <w:szCs w:val="25"/>
        </w:rPr>
        <w:t>В части выбытия (списания) активов и задолженности комиссия принимает решения по следующим вопросам:</w:t>
      </w:r>
    </w:p>
    <w:p w14:paraId="3E764FB4">
      <w:pPr>
        <w:pStyle w:val="20"/>
        <w:ind w:firstLine="567"/>
        <w:jc w:val="both"/>
        <w:rPr>
          <w:sz w:val="25"/>
          <w:szCs w:val="25"/>
        </w:rPr>
      </w:pPr>
      <w:r>
        <w:rPr>
          <w:sz w:val="25"/>
          <w:szCs w:val="25"/>
        </w:rPr>
        <w:t xml:space="preserve">     - выбытие (списание) нефинансовых активов (в том числе объектов движимого имущества стоимостью до 10 000 руб. включительно, учитываемых на забалансовом счете 21);</w:t>
      </w:r>
    </w:p>
    <w:p w14:paraId="36442D0B">
      <w:pPr>
        <w:pStyle w:val="20"/>
        <w:ind w:firstLine="567"/>
        <w:jc w:val="both"/>
        <w:rPr>
          <w:sz w:val="25"/>
          <w:szCs w:val="25"/>
        </w:rPr>
      </w:pPr>
      <w:r>
        <w:rPr>
          <w:sz w:val="25"/>
          <w:szCs w:val="25"/>
        </w:rPr>
        <w:t xml:space="preserve">     - возможность использовать отдельные узлы, детали, конструкции и материалы, полученные в результате списания объектов нефинансовых активов;</w:t>
      </w:r>
    </w:p>
    <w:p w14:paraId="6B7FB554">
      <w:pPr>
        <w:pStyle w:val="20"/>
        <w:ind w:firstLine="567"/>
        <w:jc w:val="both"/>
        <w:rPr>
          <w:sz w:val="25"/>
          <w:szCs w:val="25"/>
        </w:rPr>
      </w:pPr>
      <w:r>
        <w:rPr>
          <w:sz w:val="25"/>
          <w:szCs w:val="25"/>
        </w:rPr>
        <w:t xml:space="preserve">     -  частичная ликвидация (разукомплектация) основных средств;</w:t>
      </w:r>
    </w:p>
    <w:p w14:paraId="0526EEE0">
      <w:pPr>
        <w:pStyle w:val="20"/>
        <w:ind w:firstLine="567"/>
        <w:jc w:val="both"/>
        <w:rPr>
          <w:sz w:val="25"/>
          <w:szCs w:val="25"/>
        </w:rPr>
      </w:pPr>
      <w:r>
        <w:rPr>
          <w:sz w:val="25"/>
          <w:szCs w:val="25"/>
        </w:rPr>
        <w:t xml:space="preserve">     - дальнейшее использование имущества, возможность и эффективность его восстановления.</w:t>
      </w:r>
    </w:p>
    <w:p w14:paraId="74B17BAA">
      <w:pPr>
        <w:pStyle w:val="20"/>
        <w:ind w:firstLine="567"/>
        <w:jc w:val="both"/>
        <w:rPr>
          <w:sz w:val="25"/>
          <w:szCs w:val="25"/>
        </w:rPr>
      </w:pPr>
      <w:r>
        <w:rPr>
          <w:sz w:val="25"/>
          <w:szCs w:val="25"/>
        </w:rPr>
        <w:t>Решение о выбытии имущества принимается в следующих случаях:</w:t>
      </w:r>
    </w:p>
    <w:p w14:paraId="2C9DAC6F">
      <w:pPr>
        <w:pStyle w:val="20"/>
        <w:ind w:firstLine="567"/>
        <w:jc w:val="both"/>
        <w:rPr>
          <w:sz w:val="25"/>
          <w:szCs w:val="25"/>
        </w:rPr>
      </w:pPr>
      <w:r>
        <w:rPr>
          <w:sz w:val="25"/>
          <w:szCs w:val="25"/>
        </w:rPr>
        <w:t xml:space="preserve">     -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14:paraId="63861427">
      <w:pPr>
        <w:pStyle w:val="20"/>
        <w:ind w:firstLine="567"/>
        <w:jc w:val="both"/>
        <w:rPr>
          <w:sz w:val="25"/>
          <w:szCs w:val="25"/>
        </w:rPr>
      </w:pPr>
      <w:r>
        <w:rPr>
          <w:sz w:val="25"/>
          <w:szCs w:val="25"/>
        </w:rPr>
        <w:t xml:space="preserve">     - имущество выбыло из владения, пользования, распоряжения вследствие гибели или уничтожения, в том числе помимо воли учреждения (хищения, недостачи, порчи, выявленных при инвентаризации), а также при невозможности выяснения его местонахождения;</w:t>
      </w:r>
    </w:p>
    <w:p w14:paraId="515EAC9F">
      <w:pPr>
        <w:pStyle w:val="20"/>
        <w:ind w:firstLine="567"/>
        <w:jc w:val="both"/>
        <w:rPr>
          <w:sz w:val="25"/>
          <w:szCs w:val="25"/>
        </w:rPr>
      </w:pPr>
      <w:r>
        <w:rPr>
          <w:sz w:val="25"/>
          <w:szCs w:val="25"/>
        </w:rPr>
        <w:t xml:space="preserve">     - имущество передается другому государственному (муниципальному) учреждению, органу государственной власти, органу местного самоуправления, государственному (муниципальному) предприятию;</w:t>
      </w:r>
    </w:p>
    <w:p w14:paraId="53FABD0C">
      <w:pPr>
        <w:pStyle w:val="20"/>
        <w:ind w:firstLine="567"/>
        <w:jc w:val="both"/>
        <w:rPr>
          <w:sz w:val="25"/>
          <w:szCs w:val="25"/>
        </w:rPr>
      </w:pPr>
      <w:r>
        <w:rPr>
          <w:sz w:val="25"/>
          <w:szCs w:val="25"/>
        </w:rPr>
        <w:t xml:space="preserve">     - в других случаях прекращения права оперативного управления, предусмотренных законодательством РФ.</w:t>
      </w:r>
    </w:p>
    <w:p w14:paraId="6D5C7676">
      <w:pPr>
        <w:pStyle w:val="20"/>
        <w:ind w:firstLine="567"/>
        <w:jc w:val="both"/>
        <w:rPr>
          <w:sz w:val="25"/>
          <w:szCs w:val="25"/>
        </w:rPr>
      </w:pPr>
      <w:r>
        <w:rPr>
          <w:sz w:val="25"/>
          <w:szCs w:val="25"/>
        </w:rPr>
        <w:t>Решение о списании имущества принимается комиссией после проведения следующих мероприятий:</w:t>
      </w:r>
    </w:p>
    <w:p w14:paraId="205E359F">
      <w:pPr>
        <w:pStyle w:val="20"/>
        <w:ind w:firstLine="567"/>
        <w:jc w:val="both"/>
        <w:rPr>
          <w:sz w:val="25"/>
          <w:szCs w:val="25"/>
        </w:rPr>
      </w:pPr>
      <w:r>
        <w:rPr>
          <w:sz w:val="25"/>
          <w:szCs w:val="25"/>
        </w:rPr>
        <w:t xml:space="preserve">     - осмотр подлежащего списанию имущества (при наличии такой возможности)                   с учетом данных, содержащихся в учетно-технической и иной документации;</w:t>
      </w:r>
    </w:p>
    <w:p w14:paraId="73508637">
      <w:pPr>
        <w:pStyle w:val="20"/>
        <w:ind w:firstLine="567"/>
        <w:jc w:val="both"/>
        <w:rPr>
          <w:sz w:val="25"/>
          <w:szCs w:val="25"/>
        </w:rPr>
      </w:pPr>
      <w:r>
        <w:rPr>
          <w:sz w:val="25"/>
          <w:szCs w:val="25"/>
        </w:rPr>
        <w:t xml:space="preserve">     - установление причин списания имущества: физический и (или) моральный износ, нарушение условий содержания и (или) эксплуатации, авария, стихийное бедствие, длительное неиспользование имущества, иные причины;</w:t>
      </w:r>
    </w:p>
    <w:p w14:paraId="7BC6B125">
      <w:pPr>
        <w:pStyle w:val="20"/>
        <w:ind w:firstLine="567"/>
        <w:jc w:val="both"/>
        <w:rPr>
          <w:sz w:val="25"/>
          <w:szCs w:val="25"/>
        </w:rPr>
      </w:pPr>
      <w:r>
        <w:rPr>
          <w:sz w:val="25"/>
          <w:szCs w:val="25"/>
        </w:rPr>
        <w:t xml:space="preserve">     - установление виновных лиц, действия которых привели к необходимости списания имущества до истечения срока его полезного использования;</w:t>
      </w:r>
    </w:p>
    <w:p w14:paraId="04091F8C">
      <w:pPr>
        <w:pStyle w:val="20"/>
        <w:ind w:firstLine="567"/>
        <w:jc w:val="both"/>
        <w:rPr>
          <w:sz w:val="25"/>
          <w:szCs w:val="25"/>
        </w:rPr>
      </w:pPr>
      <w:r>
        <w:rPr>
          <w:sz w:val="25"/>
          <w:szCs w:val="25"/>
        </w:rPr>
        <w:t xml:space="preserve">     - подготовка документов, необходимых для согласования решения о списании имущества.</w:t>
      </w:r>
    </w:p>
    <w:p w14:paraId="76581411">
      <w:pPr>
        <w:pStyle w:val="20"/>
        <w:ind w:firstLine="567"/>
        <w:jc w:val="both"/>
        <w:rPr>
          <w:sz w:val="25"/>
          <w:szCs w:val="25"/>
        </w:rPr>
      </w:pPr>
      <w:r>
        <w:rPr>
          <w:sz w:val="25"/>
          <w:szCs w:val="25"/>
        </w:rPr>
        <w:t>Выбытие (списание) нефинансовых активов оформляется следующими документами:</w:t>
      </w:r>
    </w:p>
    <w:p w14:paraId="483189F1">
      <w:pPr>
        <w:pStyle w:val="20"/>
        <w:ind w:firstLine="567"/>
        <w:jc w:val="both"/>
        <w:rPr>
          <w:sz w:val="25"/>
          <w:szCs w:val="25"/>
        </w:rPr>
      </w:pPr>
      <w:r>
        <w:rPr>
          <w:sz w:val="25"/>
          <w:szCs w:val="25"/>
        </w:rPr>
        <w:t xml:space="preserve">     - Актом о приеме-передаче объектов нефинансовых активов (ф. 0504101);</w:t>
      </w:r>
    </w:p>
    <w:p w14:paraId="032D6B0B">
      <w:pPr>
        <w:pStyle w:val="20"/>
        <w:ind w:firstLine="567"/>
        <w:jc w:val="both"/>
        <w:rPr>
          <w:sz w:val="25"/>
          <w:szCs w:val="25"/>
        </w:rPr>
      </w:pPr>
      <w:r>
        <w:rPr>
          <w:sz w:val="25"/>
          <w:szCs w:val="25"/>
        </w:rPr>
        <w:t xml:space="preserve">     - Актом о списании объектов нефинансовых активов (кроме транспортных средств) (ф. 0504104);</w:t>
      </w:r>
    </w:p>
    <w:p w14:paraId="0A5EC7A7">
      <w:pPr>
        <w:pStyle w:val="20"/>
        <w:ind w:firstLine="567"/>
        <w:jc w:val="both"/>
        <w:rPr>
          <w:sz w:val="25"/>
          <w:szCs w:val="25"/>
        </w:rPr>
      </w:pPr>
      <w:r>
        <w:rPr>
          <w:sz w:val="25"/>
          <w:szCs w:val="25"/>
        </w:rPr>
        <w:t xml:space="preserve">     - Актом о списании транспортного средства (ф. 0504105);</w:t>
      </w:r>
    </w:p>
    <w:p w14:paraId="0C7798FA">
      <w:pPr>
        <w:pStyle w:val="20"/>
        <w:ind w:firstLine="567"/>
        <w:jc w:val="both"/>
        <w:rPr>
          <w:sz w:val="25"/>
          <w:szCs w:val="25"/>
        </w:rPr>
      </w:pPr>
      <w:r>
        <w:rPr>
          <w:sz w:val="25"/>
          <w:szCs w:val="25"/>
        </w:rPr>
        <w:t xml:space="preserve">     - Актом о списании мягкого и хозяйственного инвентаря (ф. 0504143);</w:t>
      </w:r>
    </w:p>
    <w:p w14:paraId="5E5CE6EA">
      <w:pPr>
        <w:pStyle w:val="20"/>
        <w:ind w:firstLine="567"/>
        <w:jc w:val="both"/>
        <w:rPr>
          <w:sz w:val="25"/>
          <w:szCs w:val="25"/>
        </w:rPr>
      </w:pPr>
      <w:r>
        <w:rPr>
          <w:sz w:val="25"/>
          <w:szCs w:val="25"/>
        </w:rPr>
        <w:t xml:space="preserve">     - Актом о списании материальных запасов (ф. 0504230).</w:t>
      </w:r>
    </w:p>
    <w:p w14:paraId="16356523">
      <w:pPr>
        <w:pStyle w:val="20"/>
        <w:ind w:firstLine="567"/>
        <w:jc w:val="both"/>
        <w:rPr>
          <w:sz w:val="25"/>
          <w:szCs w:val="25"/>
        </w:rPr>
      </w:pPr>
      <w:r>
        <w:rPr>
          <w:sz w:val="25"/>
          <w:szCs w:val="25"/>
        </w:rPr>
        <w:t>До утверждения в установленном порядке акта о списании реализация мероприятий, предусмотренных этим актом, не допускается.</w:t>
      </w:r>
    </w:p>
    <w:p w14:paraId="05265AE9">
      <w:pPr>
        <w:pStyle w:val="20"/>
        <w:ind w:firstLine="567"/>
        <w:jc w:val="both"/>
        <w:rPr>
          <w:sz w:val="25"/>
          <w:szCs w:val="25"/>
        </w:rPr>
      </w:pPr>
      <w:r>
        <w:rPr>
          <w:sz w:val="25"/>
          <w:szCs w:val="25"/>
        </w:rPr>
        <w:t xml:space="preserve">     Данные мероприятия администрация реализует самостоятельно либо с привлечением третьих лиц на основании заключенного договора.</w:t>
      </w:r>
    </w:p>
    <w:p w14:paraId="6C0B0206">
      <w:pPr>
        <w:pStyle w:val="20"/>
        <w:ind w:firstLine="567"/>
        <w:jc w:val="both"/>
        <w:rPr>
          <w:sz w:val="25"/>
          <w:szCs w:val="25"/>
        </w:rPr>
      </w:pPr>
    </w:p>
    <w:p w14:paraId="5108CF87">
      <w:pPr>
        <w:pStyle w:val="20"/>
        <w:ind w:firstLine="567"/>
        <w:jc w:val="center"/>
        <w:rPr>
          <w:b/>
          <w:sz w:val="25"/>
          <w:szCs w:val="25"/>
        </w:rPr>
      </w:pPr>
      <w:r>
        <w:rPr>
          <w:b/>
          <w:sz w:val="25"/>
          <w:szCs w:val="25"/>
        </w:rPr>
        <w:t>6.  Учет основных средств</w:t>
      </w:r>
    </w:p>
    <w:p w14:paraId="3E8B693A">
      <w:pPr>
        <w:pStyle w:val="20"/>
        <w:ind w:firstLine="567"/>
        <w:jc w:val="both"/>
        <w:rPr>
          <w:sz w:val="25"/>
          <w:szCs w:val="25"/>
        </w:rPr>
      </w:pPr>
    </w:p>
    <w:p w14:paraId="3AAAB1D8">
      <w:pPr>
        <w:pStyle w:val="20"/>
        <w:ind w:firstLine="567"/>
        <w:jc w:val="both"/>
        <w:rPr>
          <w:sz w:val="25"/>
          <w:szCs w:val="25"/>
        </w:rPr>
      </w:pPr>
      <w:r>
        <w:rPr>
          <w:sz w:val="25"/>
          <w:szCs w:val="25"/>
        </w:rPr>
        <w:t>6.1. Учет основных средств осуществляется в соответствии п.п. 22-55 Инструкции № 157н; п.п. 3-10 Инструкции №162н;</w:t>
      </w:r>
      <w:r>
        <w:rPr>
          <w:color w:val="FF0000"/>
          <w:sz w:val="25"/>
          <w:szCs w:val="25"/>
        </w:rPr>
        <w:t xml:space="preserve"> </w:t>
      </w:r>
      <w:r>
        <w:rPr>
          <w:sz w:val="25"/>
          <w:szCs w:val="25"/>
        </w:rPr>
        <w:t>п.35 ФСБУ № 257н.</w:t>
      </w:r>
    </w:p>
    <w:p w14:paraId="5FC3E51C">
      <w:pPr>
        <w:pStyle w:val="20"/>
        <w:ind w:firstLine="567"/>
        <w:jc w:val="both"/>
        <w:rPr>
          <w:sz w:val="25"/>
          <w:szCs w:val="25"/>
        </w:rPr>
      </w:pPr>
      <w:r>
        <w:rPr>
          <w:sz w:val="25"/>
          <w:szCs w:val="25"/>
        </w:rPr>
        <w:t>6.2. Материальные ценности подлежат признанию в бюджетном учете в составе основных средств при условии, что являются активами, закрепленными за аппаратом на праве оперативного управления, в результате произошедших фактов хозяйственной жизни, материальные ценности обладают полезным потенциалом или способностью обеспечивать поступление экономических выгод и первоначальную стоимость материальных ценностей как объектов бюджетного учета можно надежно оценить (далее - критерии признания объекта основных средств).</w:t>
      </w:r>
    </w:p>
    <w:p w14:paraId="32291FC5">
      <w:pPr>
        <w:pStyle w:val="20"/>
        <w:ind w:firstLine="567"/>
        <w:jc w:val="both"/>
        <w:rPr>
          <w:sz w:val="25"/>
          <w:szCs w:val="25"/>
        </w:rPr>
      </w:pPr>
      <w:r>
        <w:rPr>
          <w:sz w:val="25"/>
          <w:szCs w:val="25"/>
        </w:rPr>
        <w:t xml:space="preserve">6.3. В зависимости от вида запасов, характера и порядка приобретения (создания) и (или) потребления (продажи, использования) единицей учета основных средств является инвентарный номер. </w:t>
      </w:r>
    </w:p>
    <w:p w14:paraId="20C5735D">
      <w:pPr>
        <w:pStyle w:val="20"/>
        <w:ind w:firstLine="567"/>
        <w:jc w:val="both"/>
        <w:rPr>
          <w:sz w:val="25"/>
          <w:szCs w:val="25"/>
        </w:rPr>
      </w:pPr>
      <w:r>
        <w:rPr>
          <w:sz w:val="25"/>
          <w:szCs w:val="25"/>
        </w:rPr>
        <w:t>6.4. Инвентарные объекты основных средств принимаются к учету согласно требованиям ОКОФ.</w:t>
      </w:r>
    </w:p>
    <w:p w14:paraId="5937E27C">
      <w:pPr>
        <w:pStyle w:val="20"/>
        <w:ind w:firstLine="567"/>
        <w:jc w:val="both"/>
        <w:rPr>
          <w:sz w:val="25"/>
          <w:szCs w:val="25"/>
        </w:rPr>
      </w:pPr>
      <w:r>
        <w:rPr>
          <w:sz w:val="25"/>
          <w:szCs w:val="25"/>
        </w:rPr>
        <w:t>Критерии признания объекта основных средств применяются к инвентарному объекту в целом. Учет основных средств ведется в рублях и копейках.</w:t>
      </w:r>
    </w:p>
    <w:p w14:paraId="2ACEA4CC">
      <w:pPr>
        <w:pStyle w:val="20"/>
        <w:ind w:firstLine="567"/>
        <w:jc w:val="both"/>
        <w:rPr>
          <w:sz w:val="25"/>
          <w:szCs w:val="25"/>
        </w:rPr>
      </w:pPr>
      <w:r>
        <w:rPr>
          <w:sz w:val="25"/>
          <w:szCs w:val="25"/>
        </w:rPr>
        <w:t>6.5. Для организации учета и обеспечения контроля сохранности объектов основных средств каждому объекту основных средств (кроме объектов сто</w:t>
      </w:r>
      <w:r>
        <w:rPr>
          <w:sz w:val="25"/>
          <w:szCs w:val="25"/>
        </w:rPr>
        <w:softHyphen/>
      </w:r>
      <w:r>
        <w:rPr>
          <w:sz w:val="25"/>
          <w:szCs w:val="25"/>
        </w:rPr>
        <w:t>имостью до 10000 рублей включительно за единицу, а также литературы, мягкого инвентаря и посуды независимо от стоимости) присваивается уни</w:t>
      </w:r>
      <w:r>
        <w:rPr>
          <w:sz w:val="25"/>
          <w:szCs w:val="25"/>
        </w:rPr>
        <w:softHyphen/>
      </w:r>
      <w:r>
        <w:rPr>
          <w:sz w:val="25"/>
          <w:szCs w:val="25"/>
        </w:rPr>
        <w:t>кальный порядковый инвентарный номер, который состоит из 12 знаков. Инвентарный номер объектов основных средств  присваивается в соответ</w:t>
      </w:r>
      <w:r>
        <w:rPr>
          <w:sz w:val="25"/>
          <w:szCs w:val="25"/>
        </w:rPr>
        <w:softHyphen/>
      </w:r>
      <w:r>
        <w:rPr>
          <w:sz w:val="25"/>
          <w:szCs w:val="25"/>
        </w:rPr>
        <w:t>ствии со структурой кодовых обозначений. В случае наличия у одного объекта нескольких частей, имеющих разный срок полезного использования, каждая такая часть учитывается как самостоятель</w:t>
      </w:r>
      <w:r>
        <w:rPr>
          <w:sz w:val="25"/>
          <w:szCs w:val="25"/>
        </w:rPr>
        <w:softHyphen/>
      </w:r>
      <w:r>
        <w:rPr>
          <w:sz w:val="25"/>
          <w:szCs w:val="25"/>
        </w:rPr>
        <w:t>ный инвентарный объект.</w:t>
      </w:r>
    </w:p>
    <w:p w14:paraId="68BABCB4">
      <w:pPr>
        <w:pStyle w:val="20"/>
        <w:ind w:firstLine="567"/>
        <w:jc w:val="both"/>
        <w:rPr>
          <w:sz w:val="25"/>
          <w:szCs w:val="25"/>
        </w:rPr>
      </w:pPr>
      <w:r>
        <w:rPr>
          <w:sz w:val="25"/>
          <w:szCs w:val="25"/>
        </w:rPr>
        <w:t>6.6. Объекты основных средств, приобретенные в результате обменных или необменных операций, принимаются к бюджетному учету с момента признания                       по их первоначальной стоимости.</w:t>
      </w:r>
    </w:p>
    <w:p w14:paraId="177E485D">
      <w:pPr>
        <w:pStyle w:val="20"/>
        <w:ind w:firstLine="567"/>
        <w:jc w:val="both"/>
        <w:rPr>
          <w:sz w:val="25"/>
          <w:szCs w:val="25"/>
        </w:rPr>
      </w:pPr>
      <w:r>
        <w:rPr>
          <w:sz w:val="25"/>
          <w:szCs w:val="25"/>
        </w:rPr>
        <w:t>Первоначальной стоимостью основных средств, приобретенных в результате обменных операций, признается сумма фактических вложений в их приобретение.</w:t>
      </w:r>
    </w:p>
    <w:p w14:paraId="7BB8F2EA">
      <w:pPr>
        <w:pStyle w:val="20"/>
        <w:ind w:firstLine="567"/>
        <w:jc w:val="both"/>
        <w:rPr>
          <w:sz w:val="25"/>
          <w:szCs w:val="25"/>
        </w:rPr>
      </w:pPr>
      <w:r>
        <w:rPr>
          <w:sz w:val="25"/>
          <w:szCs w:val="25"/>
        </w:rPr>
        <w:t>Первоначальной стоимостью объектов основных средств, приобретенных                             в результате необменных операций, является их справедливая стоимость на дату приобретения.</w:t>
      </w:r>
    </w:p>
    <w:p w14:paraId="16BD961F">
      <w:pPr>
        <w:pStyle w:val="20"/>
        <w:ind w:firstLine="567"/>
        <w:jc w:val="both"/>
        <w:rPr>
          <w:sz w:val="25"/>
          <w:szCs w:val="25"/>
        </w:rPr>
      </w:pPr>
      <w:r>
        <w:rPr>
          <w:sz w:val="25"/>
          <w:szCs w:val="25"/>
        </w:rPr>
        <w:t>Определение справедливой стоимости осуществляется методом рыночных цен, действующих на дату признания в учете объекта основных средств. Данные о текущей рыночной цене или о недавних сделках с аналогичными или схожими активами должны быть подтверждены документально, а в случаях невозможности документального подтверждения - экспертным путем комиссии.</w:t>
      </w:r>
    </w:p>
    <w:p w14:paraId="322850E8">
      <w:pPr>
        <w:pStyle w:val="20"/>
        <w:ind w:firstLine="567"/>
        <w:jc w:val="both"/>
        <w:rPr>
          <w:sz w:val="25"/>
          <w:szCs w:val="25"/>
        </w:rPr>
      </w:pPr>
      <w:r>
        <w:rPr>
          <w:sz w:val="25"/>
          <w:szCs w:val="25"/>
        </w:rPr>
        <w:t>Рыночная стоимость определяется на основании предложений по схожим объектам, размещенных в сети Интернет, коммерческих предложений.</w:t>
      </w:r>
    </w:p>
    <w:p w14:paraId="70060E5E">
      <w:pPr>
        <w:pStyle w:val="20"/>
        <w:ind w:firstLine="567"/>
        <w:jc w:val="both"/>
        <w:rPr>
          <w:sz w:val="25"/>
          <w:szCs w:val="25"/>
        </w:rPr>
      </w:pPr>
      <w:r>
        <w:rPr>
          <w:sz w:val="25"/>
          <w:szCs w:val="25"/>
        </w:rPr>
        <w:t>6.7. В случае получения основных средств в рамках безвозмездного пользования материальных ценностей либо приобретенные по бюджетной классификации,                          не относящейся к содержанию аппарата, но используемые для осуществления основного вида деятельности, по распорядительному документу может быть принята               к учету по бюджетной классификации на содержание администрации, а также начисление амортизации производится по функциональной классификации (раздел, подраздел, целевая статья, вид расходов.</w:t>
      </w:r>
    </w:p>
    <w:p w14:paraId="10C7249C">
      <w:pPr>
        <w:pStyle w:val="20"/>
        <w:ind w:firstLine="567"/>
        <w:jc w:val="both"/>
        <w:rPr>
          <w:sz w:val="25"/>
          <w:szCs w:val="25"/>
        </w:rPr>
      </w:pPr>
      <w:r>
        <w:rPr>
          <w:sz w:val="25"/>
          <w:szCs w:val="25"/>
        </w:rPr>
        <w:t xml:space="preserve">6.8. В соответствии с нормами п.25 и п.31 Инструкции № 157н первоначальной (фактической) стоимостью объектов основных средств, полученных администрациям                     по договору дарения, признается их текущая оценочная рыночная стоимость на дату принятия к бухгалтерскому учету, увеличенная на стоимость услуг, связанных с их доставкой, регистрацией и приведением в состояние, пригодное для использования. </w:t>
      </w:r>
    </w:p>
    <w:p w14:paraId="5AD7D26F">
      <w:pPr>
        <w:pStyle w:val="20"/>
        <w:ind w:firstLine="567"/>
        <w:jc w:val="both"/>
        <w:rPr>
          <w:sz w:val="25"/>
          <w:szCs w:val="25"/>
        </w:rPr>
      </w:pPr>
      <w:r>
        <w:rPr>
          <w:sz w:val="25"/>
          <w:szCs w:val="25"/>
        </w:rPr>
        <w:t>6.9. Признание в учете объектов основных средств, выявленных при инвентаризации, осуществляется по справедливой стоимости, установленной методом рыночных цен на дату принятия к бухгалтерскому учету.</w:t>
      </w:r>
    </w:p>
    <w:p w14:paraId="618C5349">
      <w:pPr>
        <w:pStyle w:val="20"/>
        <w:ind w:firstLine="567"/>
        <w:jc w:val="both"/>
        <w:rPr>
          <w:sz w:val="25"/>
          <w:szCs w:val="25"/>
        </w:rPr>
      </w:pPr>
      <w:r>
        <w:rPr>
          <w:sz w:val="25"/>
          <w:szCs w:val="25"/>
        </w:rPr>
        <w:t>6.10. При определении текущей оценочной рыночной стоимости в целях принятия объекта к бухгалтерскому учету используются  данные о цене, сформированной                     на рынке на соответствующий объект, которые должны быть подтверждены документально (например, документами, подтверждающими цену объекта основных средств, могут быть письмо от торговой сети о стоимости  у неё аналогичного основного средства, сведения об уровне цен, имеющиеся у органов государственной статистики, торговых инспекций, а также в средствах массовой информации и специальной литературе). В случаях невозможности документального подтверждения цена устанавливается экспертным путем - Комиссией.</w:t>
      </w:r>
    </w:p>
    <w:p w14:paraId="20E80856">
      <w:pPr>
        <w:pStyle w:val="20"/>
        <w:ind w:firstLine="567"/>
        <w:jc w:val="both"/>
        <w:rPr>
          <w:sz w:val="25"/>
          <w:szCs w:val="25"/>
        </w:rPr>
      </w:pPr>
      <w:r>
        <w:rPr>
          <w:sz w:val="25"/>
          <w:szCs w:val="25"/>
        </w:rPr>
        <w:t>6.11. В случае, если данные о ценах на аналогичные либо схожие материальные ценности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 равной одному рублю. Отражение осуществляется на балансовых счетах                        в условной оценке: один объект, один рубль.</w:t>
      </w:r>
    </w:p>
    <w:p w14:paraId="2A8A5BD2">
      <w:pPr>
        <w:pStyle w:val="20"/>
        <w:ind w:firstLine="567"/>
        <w:jc w:val="both"/>
        <w:rPr>
          <w:sz w:val="25"/>
          <w:szCs w:val="25"/>
        </w:rPr>
      </w:pPr>
      <w:r>
        <w:rPr>
          <w:sz w:val="25"/>
          <w:szCs w:val="25"/>
        </w:rPr>
        <w:t>6.12. 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инвентаризационной комиссией администрации осуществляется пересмотр балансовой (справедливой) стоимости такого объекта.</w:t>
      </w:r>
    </w:p>
    <w:p w14:paraId="3FAD9FA6">
      <w:pPr>
        <w:pStyle w:val="20"/>
        <w:ind w:firstLine="567"/>
        <w:jc w:val="both"/>
        <w:rPr>
          <w:sz w:val="25"/>
          <w:szCs w:val="25"/>
        </w:rPr>
      </w:pPr>
      <w:r>
        <w:rPr>
          <w:sz w:val="25"/>
          <w:szCs w:val="25"/>
        </w:rPr>
        <w:t>6.13. Срок полезного использования объектов нефинансовых активов в целях принятия к учету в составе основных средств и начисления амортизации определяется исходя из:</w:t>
      </w:r>
    </w:p>
    <w:p w14:paraId="60D13030">
      <w:pPr>
        <w:pStyle w:val="20"/>
        <w:ind w:firstLine="567"/>
        <w:jc w:val="both"/>
        <w:rPr>
          <w:sz w:val="25"/>
          <w:szCs w:val="25"/>
        </w:rPr>
      </w:pPr>
      <w:r>
        <w:rPr>
          <w:sz w:val="25"/>
          <w:szCs w:val="25"/>
        </w:rPr>
        <w:t>- ожидаемого срока получения экономических выгод и (или) полезного потенциала, заключенных в активе, признаваемом объектом основных средств.</w:t>
      </w:r>
    </w:p>
    <w:p w14:paraId="6BF987D9">
      <w:pPr>
        <w:pStyle w:val="20"/>
        <w:ind w:firstLine="567"/>
        <w:jc w:val="both"/>
        <w:rPr>
          <w:sz w:val="25"/>
          <w:szCs w:val="25"/>
        </w:rPr>
      </w:pPr>
      <w:r>
        <w:rPr>
          <w:sz w:val="25"/>
          <w:szCs w:val="25"/>
        </w:rPr>
        <w:t>- рекомендаций, содержащихся в документах производителя, входящих                                  в комплектацию объекта имущества, или на основании решения комиссии субъекта учета по поступлению и выбытию активов, принятого с учетом:</w:t>
      </w:r>
    </w:p>
    <w:p w14:paraId="300E9BE8">
      <w:pPr>
        <w:pStyle w:val="20"/>
        <w:ind w:firstLine="567"/>
        <w:jc w:val="both"/>
        <w:rPr>
          <w:sz w:val="25"/>
          <w:szCs w:val="25"/>
        </w:rPr>
      </w:pPr>
      <w:r>
        <w:rPr>
          <w:sz w:val="25"/>
          <w:szCs w:val="25"/>
        </w:rPr>
        <w:t>- ожидаемого срока использования этого объекта в соответствии с ожидаемой производительностью или мощностью;</w:t>
      </w:r>
    </w:p>
    <w:p w14:paraId="5C2F5BE5">
      <w:pPr>
        <w:pStyle w:val="20"/>
        <w:ind w:firstLine="567"/>
        <w:jc w:val="both"/>
        <w:rPr>
          <w:sz w:val="25"/>
          <w:szCs w:val="25"/>
        </w:rPr>
      </w:pPr>
      <w:r>
        <w:rPr>
          <w:sz w:val="25"/>
          <w:szCs w:val="25"/>
        </w:rPr>
        <w:t>- ожидаемого физического износа, зависящего от режима эксплуатации, естественных условий и влияния агрессивной среды, системы проведения ремонта;</w:t>
      </w:r>
    </w:p>
    <w:p w14:paraId="37CBB3AC">
      <w:pPr>
        <w:pStyle w:val="20"/>
        <w:ind w:firstLine="567"/>
        <w:jc w:val="both"/>
        <w:rPr>
          <w:sz w:val="25"/>
          <w:szCs w:val="25"/>
        </w:rPr>
      </w:pPr>
      <w:r>
        <w:rPr>
          <w:sz w:val="25"/>
          <w:szCs w:val="25"/>
        </w:rPr>
        <w:t>- иных ограничений использования этого объекта, в том числе установленных согласно законодательству Российской Федерации;</w:t>
      </w:r>
    </w:p>
    <w:p w14:paraId="54B5123B">
      <w:pPr>
        <w:pStyle w:val="20"/>
        <w:ind w:firstLine="567"/>
        <w:jc w:val="both"/>
        <w:rPr>
          <w:sz w:val="25"/>
          <w:szCs w:val="25"/>
        </w:rPr>
      </w:pPr>
      <w:r>
        <w:rPr>
          <w:sz w:val="25"/>
          <w:szCs w:val="25"/>
        </w:rPr>
        <w:t>-  гарантийного срока использования объекта;</w:t>
      </w:r>
    </w:p>
    <w:p w14:paraId="23F18549">
      <w:pPr>
        <w:pStyle w:val="20"/>
        <w:ind w:firstLine="567"/>
        <w:jc w:val="both"/>
        <w:rPr>
          <w:sz w:val="25"/>
          <w:szCs w:val="25"/>
        </w:rPr>
      </w:pPr>
      <w:r>
        <w:rPr>
          <w:sz w:val="25"/>
          <w:szCs w:val="25"/>
        </w:rPr>
        <w:t xml:space="preserve">- сроков фактической эксплуатации и ранее начисленной суммы амортизации - для объектов, безвозмездно полученных от иных субъектов учета, государственных (муниципальных) организаций. </w:t>
      </w:r>
    </w:p>
    <w:p w14:paraId="43011E54">
      <w:pPr>
        <w:pStyle w:val="20"/>
        <w:ind w:firstLine="567"/>
        <w:jc w:val="both"/>
        <w:rPr>
          <w:sz w:val="25"/>
          <w:szCs w:val="25"/>
        </w:rPr>
      </w:pPr>
      <w:r>
        <w:rPr>
          <w:sz w:val="25"/>
          <w:szCs w:val="25"/>
        </w:rPr>
        <w:t>Срок полезного использования основных средств, введенных в эксплуатацию                      и подвергшихся модернизации (реконструкции), пересматривается в случае, если после модернизации (реконструкции) произошло увеличение сроков их полезного использования.</w:t>
      </w:r>
    </w:p>
    <w:p w14:paraId="4FCCFA14">
      <w:pPr>
        <w:pStyle w:val="20"/>
        <w:ind w:firstLine="567"/>
        <w:jc w:val="both"/>
        <w:rPr>
          <w:color w:val="FF0000"/>
          <w:sz w:val="25"/>
          <w:szCs w:val="25"/>
        </w:rPr>
      </w:pPr>
      <w:r>
        <w:rPr>
          <w:sz w:val="25"/>
          <w:szCs w:val="25"/>
        </w:rPr>
        <w:t xml:space="preserve"> Для тех видов основных средств, для которых не представляется возможным определить срок полезного использования, этот срок устанавливается комиссией                     по поступлению и выбытию нефинансовых активов</w:t>
      </w:r>
      <w:r>
        <w:rPr>
          <w:color w:val="FF0000"/>
          <w:sz w:val="25"/>
          <w:szCs w:val="25"/>
        </w:rPr>
        <w:t xml:space="preserve"> </w:t>
      </w:r>
      <w:r>
        <w:rPr>
          <w:sz w:val="25"/>
          <w:szCs w:val="25"/>
        </w:rPr>
        <w:t>самостоятельно.</w:t>
      </w:r>
    </w:p>
    <w:p w14:paraId="4CE41045">
      <w:pPr>
        <w:pStyle w:val="20"/>
        <w:ind w:firstLine="567"/>
        <w:jc w:val="both"/>
        <w:rPr>
          <w:sz w:val="25"/>
          <w:szCs w:val="25"/>
        </w:rPr>
      </w:pPr>
      <w:r>
        <w:rPr>
          <w:sz w:val="25"/>
          <w:szCs w:val="25"/>
        </w:rPr>
        <w:t xml:space="preserve">6.14. В состав основного средства включаются все компоненты компьютера (монитор, процессор, клавиатура, мышь) как один инвентарный объект (АРМ), при условии, если все они были приобретены в одно и то же время, с одинаковыми сроками полезного использования. Стоимость такого объекта определяется путем суммирования цены всех компонентов, указанных в первичных учетных документах.  </w:t>
      </w:r>
    </w:p>
    <w:p w14:paraId="1AA0CBF3">
      <w:pPr>
        <w:pStyle w:val="20"/>
        <w:ind w:firstLine="567"/>
        <w:jc w:val="both"/>
        <w:rPr>
          <w:sz w:val="25"/>
          <w:szCs w:val="25"/>
          <w:highlight w:val="yellow"/>
        </w:rPr>
      </w:pPr>
      <w:r>
        <w:rPr>
          <w:sz w:val="25"/>
          <w:szCs w:val="25"/>
        </w:rPr>
        <w:t xml:space="preserve">6.15. Замена пришедших в негодность комплектующих объекта основных средств, выполняющих свою функцию не самостоятельно, а только в составе комплекса (таких как монитор, системный блок), рассматривается как использование прочих материалов при осуществлении ремонта. </w:t>
      </w:r>
    </w:p>
    <w:p w14:paraId="3B3028D5">
      <w:pPr>
        <w:pStyle w:val="20"/>
        <w:ind w:firstLine="567"/>
        <w:jc w:val="both"/>
        <w:rPr>
          <w:sz w:val="25"/>
          <w:szCs w:val="25"/>
        </w:rPr>
      </w:pPr>
      <w:r>
        <w:rPr>
          <w:sz w:val="25"/>
          <w:szCs w:val="25"/>
        </w:rPr>
        <w:t>6.16. Периферийное (сканер, модем) и сетевое (сетевые провода, сетевые розетки) оборудование учитывается в составе одного инвентарного объекта основных средств, если же все оно (оборудование) приобреталось в разное время и по нему установлены разные сроки полезного использования, то каждый предмет учитывается как самостоятельный объект основных средств.</w:t>
      </w:r>
    </w:p>
    <w:p w14:paraId="7E14AC54">
      <w:pPr>
        <w:pStyle w:val="20"/>
        <w:ind w:firstLine="567"/>
        <w:jc w:val="both"/>
        <w:rPr>
          <w:sz w:val="25"/>
          <w:szCs w:val="25"/>
        </w:rPr>
      </w:pPr>
      <w:r>
        <w:rPr>
          <w:sz w:val="25"/>
          <w:szCs w:val="25"/>
        </w:rPr>
        <w:t>6.17. Пожарная, охранная сигнализация, электрическая и телефонная сеть, водонагреватели, счетчики учета воды и электроэнергии и другие аналогичные системы (за исключением локально-вычислительных систем) учитываются в составе зданий. Расходы на их установку, ремонт и расширение не относятся на увеличение стоимости зданий.</w:t>
      </w:r>
    </w:p>
    <w:p w14:paraId="7189CFCD">
      <w:pPr>
        <w:pStyle w:val="20"/>
        <w:ind w:firstLine="567"/>
        <w:jc w:val="both"/>
        <w:rPr>
          <w:sz w:val="25"/>
          <w:szCs w:val="25"/>
        </w:rPr>
      </w:pPr>
      <w:r>
        <w:rPr>
          <w:sz w:val="25"/>
          <w:szCs w:val="25"/>
        </w:rPr>
        <w:t>В качестве отдельных объектов основных средств к учету принимаются приборы               и аппаратура пожарной, охранной сигнализации, отвечающие критериям отнесения                их к объектам основных средств (Основание: п.10 ФСБУ № 257 н).</w:t>
      </w:r>
    </w:p>
    <w:p w14:paraId="379848C5">
      <w:pPr>
        <w:pStyle w:val="20"/>
        <w:ind w:firstLine="567"/>
        <w:jc w:val="both"/>
        <w:rPr>
          <w:sz w:val="25"/>
          <w:szCs w:val="25"/>
        </w:rPr>
      </w:pPr>
      <w:r>
        <w:rPr>
          <w:sz w:val="25"/>
          <w:szCs w:val="25"/>
        </w:rPr>
        <w:t>6.18. Затраты на модернизацию, дооборудование, реконструкцию объектов нефинансовых активов относятся на увеличение первоначальной (балансовой) стоимости такого объекта после окончания предусмотренных договором (сметой) объемов работ и при условии улучшения (повышении) первоначально принятых нормативных показателей функционирования объекта нефинансовых активов (срока полезного использования, мощности, качества применения и т.п.) по результатам проведенных работ (Основание: п.27 Инструкции №157 н; п.19 ФСБУ № 257 н).</w:t>
      </w:r>
    </w:p>
    <w:p w14:paraId="201A8D28">
      <w:pPr>
        <w:pStyle w:val="20"/>
        <w:ind w:firstLine="567"/>
        <w:jc w:val="both"/>
        <w:rPr>
          <w:sz w:val="25"/>
          <w:szCs w:val="25"/>
        </w:rPr>
      </w:pPr>
      <w:r>
        <w:rPr>
          <w:sz w:val="25"/>
          <w:szCs w:val="25"/>
        </w:rPr>
        <w:t>6.19. Не увеличивают балансовую стоимость объекта основных средств следующие затраты:</w:t>
      </w:r>
    </w:p>
    <w:p w14:paraId="3BF3ACF8">
      <w:pPr>
        <w:pStyle w:val="20"/>
        <w:ind w:firstLine="567"/>
        <w:jc w:val="both"/>
        <w:rPr>
          <w:sz w:val="25"/>
          <w:szCs w:val="25"/>
        </w:rPr>
      </w:pPr>
      <w:r>
        <w:rPr>
          <w:sz w:val="25"/>
          <w:szCs w:val="25"/>
        </w:rPr>
        <w:t xml:space="preserve">     - на проведение ремонта;</w:t>
      </w:r>
    </w:p>
    <w:p w14:paraId="1FEFFB49">
      <w:pPr>
        <w:pStyle w:val="20"/>
        <w:ind w:firstLine="567"/>
        <w:jc w:val="both"/>
        <w:rPr>
          <w:sz w:val="25"/>
          <w:szCs w:val="25"/>
        </w:rPr>
      </w:pPr>
      <w:r>
        <w:rPr>
          <w:sz w:val="25"/>
          <w:szCs w:val="25"/>
        </w:rPr>
        <w:t xml:space="preserve">     - на регулярные осмотры для выявления дефектов, являющихся обязательным условием эксплуатации этого объекта</w:t>
      </w:r>
      <w:r>
        <w:rPr>
          <w:i/>
          <w:sz w:val="25"/>
          <w:szCs w:val="25"/>
        </w:rPr>
        <w:t xml:space="preserve"> </w:t>
      </w:r>
      <w:r>
        <w:rPr>
          <w:sz w:val="25"/>
          <w:szCs w:val="25"/>
        </w:rPr>
        <w:t>(Основание: п.28 ФСБУ № 257 н).</w:t>
      </w:r>
    </w:p>
    <w:p w14:paraId="724214B1">
      <w:pPr>
        <w:pStyle w:val="20"/>
        <w:ind w:firstLine="567"/>
        <w:jc w:val="both"/>
        <w:rPr>
          <w:sz w:val="25"/>
          <w:szCs w:val="25"/>
        </w:rPr>
      </w:pPr>
      <w:r>
        <w:rPr>
          <w:sz w:val="25"/>
          <w:szCs w:val="25"/>
        </w:rPr>
        <w:t>6.20. Для организации учета и обеспечения контроля за сохранностью объектов основных средств каждому объекту имущества (кроме объектов стоимостью до 10000 рублей включительно за единицу, а также мягкого инвентаря и посуды независимо                  от стоимости) присваивается уникальный порядковый инвентарный номер. Инвентарный номер объектов основных средств присваивается в соответствии со структурой кодовых обозначений и состоит из 10 знаков:</w:t>
      </w:r>
    </w:p>
    <w:p w14:paraId="07BFA660">
      <w:pPr>
        <w:pStyle w:val="20"/>
        <w:ind w:firstLine="567"/>
        <w:jc w:val="both"/>
        <w:rPr>
          <w:sz w:val="25"/>
          <w:szCs w:val="25"/>
        </w:rPr>
      </w:pPr>
    </w:p>
    <w:tbl>
      <w:tblPr>
        <w:tblStyle w:val="4"/>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134"/>
        <w:gridCol w:w="1276"/>
        <w:gridCol w:w="1134"/>
        <w:gridCol w:w="4111"/>
      </w:tblGrid>
      <w:tr w14:paraId="357F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701" w:type="dxa"/>
            <w:shd w:val="clear" w:color="auto" w:fill="auto"/>
            <w:noWrap w:val="0"/>
            <w:vAlign w:val="top"/>
          </w:tcPr>
          <w:p w14:paraId="5972A52F">
            <w:pPr>
              <w:pStyle w:val="20"/>
              <w:ind w:firstLine="37"/>
              <w:jc w:val="center"/>
              <w:rPr>
                <w:sz w:val="25"/>
                <w:szCs w:val="25"/>
              </w:rPr>
            </w:pPr>
            <w:r>
              <w:rPr>
                <w:sz w:val="25"/>
                <w:szCs w:val="25"/>
              </w:rPr>
              <w:t>1-й знак</w:t>
            </w:r>
          </w:p>
        </w:tc>
        <w:tc>
          <w:tcPr>
            <w:tcW w:w="1134" w:type="dxa"/>
            <w:shd w:val="clear" w:color="auto" w:fill="auto"/>
            <w:noWrap w:val="0"/>
            <w:vAlign w:val="top"/>
          </w:tcPr>
          <w:p w14:paraId="50709211">
            <w:pPr>
              <w:pStyle w:val="20"/>
              <w:jc w:val="center"/>
              <w:rPr>
                <w:sz w:val="25"/>
                <w:szCs w:val="25"/>
              </w:rPr>
            </w:pPr>
            <w:r>
              <w:rPr>
                <w:sz w:val="25"/>
                <w:szCs w:val="25"/>
              </w:rPr>
              <w:t>2-4 знак</w:t>
            </w:r>
          </w:p>
        </w:tc>
        <w:tc>
          <w:tcPr>
            <w:tcW w:w="1276" w:type="dxa"/>
            <w:shd w:val="clear" w:color="auto" w:fill="auto"/>
            <w:noWrap w:val="0"/>
            <w:vAlign w:val="top"/>
          </w:tcPr>
          <w:p w14:paraId="202BA66C">
            <w:pPr>
              <w:pStyle w:val="20"/>
              <w:ind w:firstLine="38"/>
              <w:jc w:val="center"/>
              <w:rPr>
                <w:sz w:val="25"/>
                <w:szCs w:val="25"/>
              </w:rPr>
            </w:pPr>
            <w:r>
              <w:rPr>
                <w:sz w:val="25"/>
                <w:szCs w:val="25"/>
              </w:rPr>
              <w:t>5-6 знак</w:t>
            </w:r>
          </w:p>
        </w:tc>
        <w:tc>
          <w:tcPr>
            <w:tcW w:w="1134" w:type="dxa"/>
            <w:shd w:val="clear" w:color="auto" w:fill="auto"/>
            <w:noWrap w:val="0"/>
            <w:vAlign w:val="top"/>
          </w:tcPr>
          <w:p w14:paraId="1C7D64B9">
            <w:pPr>
              <w:pStyle w:val="20"/>
              <w:jc w:val="center"/>
              <w:rPr>
                <w:sz w:val="25"/>
                <w:szCs w:val="25"/>
              </w:rPr>
            </w:pPr>
            <w:r>
              <w:rPr>
                <w:sz w:val="25"/>
                <w:szCs w:val="25"/>
              </w:rPr>
              <w:t>7-10 знаки</w:t>
            </w:r>
          </w:p>
        </w:tc>
        <w:tc>
          <w:tcPr>
            <w:tcW w:w="4111" w:type="dxa"/>
            <w:vMerge w:val="restart"/>
            <w:shd w:val="clear" w:color="auto" w:fill="auto"/>
            <w:noWrap w:val="0"/>
            <w:vAlign w:val="center"/>
          </w:tcPr>
          <w:p w14:paraId="77A13464">
            <w:pPr>
              <w:pStyle w:val="20"/>
              <w:ind w:firstLine="175"/>
              <w:jc w:val="center"/>
              <w:rPr>
                <w:sz w:val="25"/>
                <w:szCs w:val="25"/>
              </w:rPr>
            </w:pPr>
            <w:r>
              <w:rPr>
                <w:sz w:val="25"/>
                <w:szCs w:val="25"/>
              </w:rPr>
              <w:t>Наименование групп инвентарных объектов</w:t>
            </w:r>
          </w:p>
        </w:tc>
      </w:tr>
      <w:tr w14:paraId="027F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701" w:type="dxa"/>
            <w:shd w:val="clear" w:color="auto" w:fill="auto"/>
            <w:noWrap w:val="0"/>
            <w:vAlign w:val="top"/>
          </w:tcPr>
          <w:p w14:paraId="74BC7250">
            <w:pPr>
              <w:pStyle w:val="20"/>
              <w:ind w:firstLine="37"/>
              <w:jc w:val="center"/>
              <w:rPr>
                <w:sz w:val="25"/>
                <w:szCs w:val="25"/>
              </w:rPr>
            </w:pPr>
            <w:r>
              <w:rPr>
                <w:sz w:val="25"/>
                <w:szCs w:val="25"/>
              </w:rPr>
              <w:t>код вида финансового обеспечения</w:t>
            </w:r>
          </w:p>
        </w:tc>
        <w:tc>
          <w:tcPr>
            <w:tcW w:w="1134" w:type="dxa"/>
            <w:shd w:val="clear" w:color="auto" w:fill="auto"/>
            <w:noWrap w:val="0"/>
            <w:vAlign w:val="top"/>
          </w:tcPr>
          <w:p w14:paraId="02F6B2A1">
            <w:pPr>
              <w:pStyle w:val="20"/>
              <w:ind w:firstLine="29"/>
              <w:jc w:val="center"/>
              <w:rPr>
                <w:sz w:val="25"/>
                <w:szCs w:val="25"/>
              </w:rPr>
            </w:pPr>
            <w:r>
              <w:rPr>
                <w:sz w:val="25"/>
                <w:szCs w:val="25"/>
              </w:rPr>
              <w:t>код синтети-ческого счета</w:t>
            </w:r>
          </w:p>
        </w:tc>
        <w:tc>
          <w:tcPr>
            <w:tcW w:w="1276" w:type="dxa"/>
            <w:shd w:val="clear" w:color="auto" w:fill="auto"/>
            <w:noWrap w:val="0"/>
            <w:vAlign w:val="top"/>
          </w:tcPr>
          <w:p w14:paraId="1F9FA017">
            <w:pPr>
              <w:pStyle w:val="20"/>
              <w:ind w:hanging="104"/>
              <w:jc w:val="center"/>
              <w:rPr>
                <w:sz w:val="25"/>
                <w:szCs w:val="25"/>
              </w:rPr>
            </w:pPr>
            <w:r>
              <w:rPr>
                <w:sz w:val="25"/>
                <w:szCs w:val="25"/>
              </w:rPr>
              <w:t>код  аналити-ческого счета</w:t>
            </w:r>
          </w:p>
        </w:tc>
        <w:tc>
          <w:tcPr>
            <w:tcW w:w="1134" w:type="dxa"/>
            <w:shd w:val="clear" w:color="auto" w:fill="auto"/>
            <w:noWrap w:val="0"/>
            <w:vAlign w:val="top"/>
          </w:tcPr>
          <w:p w14:paraId="0DE62D51">
            <w:pPr>
              <w:pStyle w:val="20"/>
              <w:jc w:val="center"/>
              <w:rPr>
                <w:sz w:val="25"/>
                <w:szCs w:val="25"/>
              </w:rPr>
            </w:pPr>
            <w:r>
              <w:rPr>
                <w:sz w:val="25"/>
                <w:szCs w:val="25"/>
              </w:rPr>
              <w:t>поряд-ковый</w:t>
            </w:r>
          </w:p>
          <w:p w14:paraId="42747516">
            <w:pPr>
              <w:pStyle w:val="20"/>
              <w:ind w:firstLine="39"/>
              <w:jc w:val="center"/>
              <w:rPr>
                <w:sz w:val="25"/>
                <w:szCs w:val="25"/>
              </w:rPr>
            </w:pPr>
            <w:r>
              <w:rPr>
                <w:sz w:val="25"/>
                <w:szCs w:val="25"/>
              </w:rPr>
              <w:t>номер</w:t>
            </w:r>
          </w:p>
        </w:tc>
        <w:tc>
          <w:tcPr>
            <w:tcW w:w="4111" w:type="dxa"/>
            <w:vMerge w:val="continue"/>
            <w:shd w:val="clear" w:color="auto" w:fill="auto"/>
            <w:noWrap w:val="0"/>
            <w:vAlign w:val="top"/>
          </w:tcPr>
          <w:p w14:paraId="4A1370AD">
            <w:pPr>
              <w:pStyle w:val="20"/>
              <w:ind w:firstLine="567"/>
              <w:jc w:val="center"/>
              <w:rPr>
                <w:sz w:val="25"/>
                <w:szCs w:val="25"/>
              </w:rPr>
            </w:pPr>
          </w:p>
        </w:tc>
      </w:tr>
      <w:tr w14:paraId="2FE6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701" w:type="dxa"/>
            <w:shd w:val="clear" w:color="auto" w:fill="auto"/>
            <w:noWrap w:val="0"/>
            <w:vAlign w:val="top"/>
          </w:tcPr>
          <w:p w14:paraId="19316C54">
            <w:pPr>
              <w:pStyle w:val="20"/>
              <w:ind w:firstLine="567"/>
              <w:jc w:val="center"/>
              <w:rPr>
                <w:sz w:val="25"/>
                <w:szCs w:val="25"/>
              </w:rPr>
            </w:pPr>
            <w:r>
              <w:rPr>
                <w:sz w:val="25"/>
                <w:szCs w:val="25"/>
              </w:rPr>
              <w:t>1</w:t>
            </w:r>
          </w:p>
        </w:tc>
        <w:tc>
          <w:tcPr>
            <w:tcW w:w="1134" w:type="dxa"/>
            <w:shd w:val="clear" w:color="auto" w:fill="auto"/>
            <w:noWrap w:val="0"/>
            <w:vAlign w:val="top"/>
          </w:tcPr>
          <w:p w14:paraId="13E93BD2">
            <w:pPr>
              <w:pStyle w:val="20"/>
              <w:ind w:firstLine="171"/>
              <w:jc w:val="center"/>
              <w:rPr>
                <w:sz w:val="25"/>
                <w:szCs w:val="25"/>
              </w:rPr>
            </w:pPr>
            <w:r>
              <w:rPr>
                <w:sz w:val="25"/>
                <w:szCs w:val="25"/>
              </w:rPr>
              <w:t>101</w:t>
            </w:r>
          </w:p>
        </w:tc>
        <w:tc>
          <w:tcPr>
            <w:tcW w:w="1276" w:type="dxa"/>
            <w:shd w:val="clear" w:color="auto" w:fill="auto"/>
            <w:noWrap w:val="0"/>
            <w:vAlign w:val="top"/>
          </w:tcPr>
          <w:p w14:paraId="3111FF9D">
            <w:pPr>
              <w:pStyle w:val="20"/>
              <w:ind w:firstLine="38"/>
              <w:jc w:val="center"/>
              <w:rPr>
                <w:sz w:val="25"/>
                <w:szCs w:val="25"/>
              </w:rPr>
            </w:pPr>
            <w:r>
              <w:rPr>
                <w:sz w:val="25"/>
                <w:szCs w:val="25"/>
              </w:rPr>
              <w:t>34</w:t>
            </w:r>
          </w:p>
        </w:tc>
        <w:tc>
          <w:tcPr>
            <w:tcW w:w="1134" w:type="dxa"/>
            <w:shd w:val="clear" w:color="auto" w:fill="auto"/>
            <w:noWrap w:val="0"/>
            <w:vAlign w:val="top"/>
          </w:tcPr>
          <w:p w14:paraId="763112CF">
            <w:pPr>
              <w:pStyle w:val="20"/>
              <w:ind w:firstLine="39"/>
              <w:jc w:val="center"/>
              <w:rPr>
                <w:sz w:val="25"/>
                <w:szCs w:val="25"/>
              </w:rPr>
            </w:pPr>
            <w:r>
              <w:rPr>
                <w:sz w:val="25"/>
                <w:szCs w:val="25"/>
              </w:rPr>
              <w:t>0001-9999</w:t>
            </w:r>
          </w:p>
        </w:tc>
        <w:tc>
          <w:tcPr>
            <w:tcW w:w="4111" w:type="dxa"/>
            <w:shd w:val="clear" w:color="auto" w:fill="auto"/>
            <w:noWrap w:val="0"/>
            <w:vAlign w:val="top"/>
          </w:tcPr>
          <w:p w14:paraId="4B0AC224">
            <w:pPr>
              <w:pStyle w:val="20"/>
              <w:ind w:firstLine="567"/>
              <w:jc w:val="center"/>
              <w:rPr>
                <w:sz w:val="25"/>
                <w:szCs w:val="25"/>
              </w:rPr>
            </w:pPr>
            <w:r>
              <w:rPr>
                <w:sz w:val="25"/>
                <w:szCs w:val="25"/>
              </w:rPr>
              <w:t>"Машины и оборудование - иное движимое имущество учреждения"</w:t>
            </w:r>
          </w:p>
        </w:tc>
      </w:tr>
      <w:tr w14:paraId="631C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1701" w:type="dxa"/>
            <w:shd w:val="clear" w:color="auto" w:fill="auto"/>
            <w:noWrap w:val="0"/>
            <w:vAlign w:val="top"/>
          </w:tcPr>
          <w:p w14:paraId="4FCF8840">
            <w:pPr>
              <w:pStyle w:val="20"/>
              <w:ind w:firstLine="567"/>
              <w:jc w:val="center"/>
              <w:rPr>
                <w:sz w:val="25"/>
                <w:szCs w:val="25"/>
              </w:rPr>
            </w:pPr>
            <w:r>
              <w:rPr>
                <w:sz w:val="25"/>
                <w:szCs w:val="25"/>
              </w:rPr>
              <w:t>1</w:t>
            </w:r>
          </w:p>
        </w:tc>
        <w:tc>
          <w:tcPr>
            <w:tcW w:w="1134" w:type="dxa"/>
            <w:shd w:val="clear" w:color="auto" w:fill="auto"/>
            <w:noWrap w:val="0"/>
            <w:vAlign w:val="top"/>
          </w:tcPr>
          <w:p w14:paraId="1C4CFDDA">
            <w:pPr>
              <w:pStyle w:val="20"/>
              <w:ind w:firstLine="171"/>
              <w:jc w:val="center"/>
              <w:rPr>
                <w:sz w:val="25"/>
                <w:szCs w:val="25"/>
              </w:rPr>
            </w:pPr>
            <w:r>
              <w:rPr>
                <w:sz w:val="25"/>
                <w:szCs w:val="25"/>
              </w:rPr>
              <w:t>101</w:t>
            </w:r>
          </w:p>
        </w:tc>
        <w:tc>
          <w:tcPr>
            <w:tcW w:w="1276" w:type="dxa"/>
            <w:shd w:val="clear" w:color="auto" w:fill="auto"/>
            <w:noWrap w:val="0"/>
            <w:vAlign w:val="top"/>
          </w:tcPr>
          <w:p w14:paraId="6E749AAD">
            <w:pPr>
              <w:pStyle w:val="20"/>
              <w:ind w:firstLine="38"/>
              <w:jc w:val="center"/>
              <w:rPr>
                <w:sz w:val="25"/>
                <w:szCs w:val="25"/>
              </w:rPr>
            </w:pPr>
            <w:r>
              <w:rPr>
                <w:sz w:val="25"/>
                <w:szCs w:val="25"/>
              </w:rPr>
              <w:t>36</w:t>
            </w:r>
          </w:p>
        </w:tc>
        <w:tc>
          <w:tcPr>
            <w:tcW w:w="1134" w:type="dxa"/>
            <w:shd w:val="clear" w:color="auto" w:fill="auto"/>
            <w:noWrap w:val="0"/>
            <w:vAlign w:val="top"/>
          </w:tcPr>
          <w:p w14:paraId="3DF460FD">
            <w:pPr>
              <w:pStyle w:val="20"/>
              <w:ind w:firstLine="39"/>
              <w:jc w:val="center"/>
              <w:rPr>
                <w:sz w:val="25"/>
                <w:szCs w:val="25"/>
              </w:rPr>
            </w:pPr>
            <w:r>
              <w:rPr>
                <w:sz w:val="25"/>
                <w:szCs w:val="25"/>
              </w:rPr>
              <w:t>0001-9999</w:t>
            </w:r>
          </w:p>
        </w:tc>
        <w:tc>
          <w:tcPr>
            <w:tcW w:w="4111" w:type="dxa"/>
            <w:shd w:val="clear" w:color="auto" w:fill="auto"/>
            <w:noWrap w:val="0"/>
            <w:vAlign w:val="top"/>
          </w:tcPr>
          <w:p w14:paraId="5E4D8B15">
            <w:pPr>
              <w:pStyle w:val="20"/>
              <w:ind w:firstLine="567"/>
              <w:jc w:val="center"/>
              <w:rPr>
                <w:sz w:val="25"/>
                <w:szCs w:val="25"/>
              </w:rPr>
            </w:pPr>
            <w:r>
              <w:rPr>
                <w:sz w:val="25"/>
                <w:szCs w:val="25"/>
              </w:rPr>
              <w:t xml:space="preserve">"Инвентарь производственный </w:t>
            </w:r>
          </w:p>
          <w:p w14:paraId="71787BD3">
            <w:pPr>
              <w:pStyle w:val="20"/>
              <w:ind w:firstLine="567"/>
              <w:jc w:val="center"/>
              <w:rPr>
                <w:sz w:val="25"/>
                <w:szCs w:val="25"/>
              </w:rPr>
            </w:pPr>
            <w:r>
              <w:rPr>
                <w:sz w:val="25"/>
                <w:szCs w:val="25"/>
              </w:rPr>
              <w:t>и хозяйственный инвентарь - иное движимое имущество учреждения"</w:t>
            </w:r>
          </w:p>
        </w:tc>
      </w:tr>
      <w:tr w14:paraId="67C3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trPr>
        <w:tc>
          <w:tcPr>
            <w:tcW w:w="1701" w:type="dxa"/>
            <w:shd w:val="clear" w:color="auto" w:fill="auto"/>
            <w:noWrap w:val="0"/>
            <w:vAlign w:val="top"/>
          </w:tcPr>
          <w:p w14:paraId="4CE32644">
            <w:pPr>
              <w:pStyle w:val="20"/>
              <w:ind w:firstLine="567"/>
              <w:jc w:val="center"/>
              <w:rPr>
                <w:sz w:val="25"/>
                <w:szCs w:val="25"/>
              </w:rPr>
            </w:pPr>
            <w:r>
              <w:rPr>
                <w:sz w:val="25"/>
                <w:szCs w:val="25"/>
              </w:rPr>
              <w:t>1</w:t>
            </w:r>
          </w:p>
        </w:tc>
        <w:tc>
          <w:tcPr>
            <w:tcW w:w="1134" w:type="dxa"/>
            <w:shd w:val="clear" w:color="auto" w:fill="auto"/>
            <w:noWrap w:val="0"/>
            <w:vAlign w:val="top"/>
          </w:tcPr>
          <w:p w14:paraId="608CC4A5">
            <w:pPr>
              <w:pStyle w:val="20"/>
              <w:ind w:firstLine="171"/>
              <w:jc w:val="center"/>
              <w:rPr>
                <w:sz w:val="25"/>
                <w:szCs w:val="25"/>
              </w:rPr>
            </w:pPr>
            <w:r>
              <w:rPr>
                <w:sz w:val="25"/>
                <w:szCs w:val="25"/>
              </w:rPr>
              <w:t>101</w:t>
            </w:r>
          </w:p>
        </w:tc>
        <w:tc>
          <w:tcPr>
            <w:tcW w:w="1276" w:type="dxa"/>
            <w:shd w:val="clear" w:color="auto" w:fill="auto"/>
            <w:noWrap w:val="0"/>
            <w:vAlign w:val="top"/>
          </w:tcPr>
          <w:p w14:paraId="5B6EEBA0">
            <w:pPr>
              <w:pStyle w:val="20"/>
              <w:ind w:firstLine="38"/>
              <w:jc w:val="center"/>
              <w:rPr>
                <w:sz w:val="25"/>
                <w:szCs w:val="25"/>
              </w:rPr>
            </w:pPr>
            <w:r>
              <w:rPr>
                <w:sz w:val="25"/>
                <w:szCs w:val="25"/>
              </w:rPr>
              <w:t>38</w:t>
            </w:r>
          </w:p>
        </w:tc>
        <w:tc>
          <w:tcPr>
            <w:tcW w:w="1134" w:type="dxa"/>
            <w:shd w:val="clear" w:color="auto" w:fill="auto"/>
            <w:noWrap w:val="0"/>
            <w:vAlign w:val="top"/>
          </w:tcPr>
          <w:p w14:paraId="7E6203FA">
            <w:pPr>
              <w:pStyle w:val="20"/>
              <w:ind w:firstLine="39"/>
              <w:jc w:val="center"/>
              <w:rPr>
                <w:sz w:val="25"/>
                <w:szCs w:val="25"/>
              </w:rPr>
            </w:pPr>
            <w:r>
              <w:rPr>
                <w:sz w:val="25"/>
                <w:szCs w:val="25"/>
              </w:rPr>
              <w:t>0001-9999</w:t>
            </w:r>
          </w:p>
        </w:tc>
        <w:tc>
          <w:tcPr>
            <w:tcW w:w="4111" w:type="dxa"/>
            <w:shd w:val="clear" w:color="auto" w:fill="auto"/>
            <w:noWrap w:val="0"/>
            <w:vAlign w:val="top"/>
          </w:tcPr>
          <w:p w14:paraId="0C0A04CD">
            <w:pPr>
              <w:pStyle w:val="20"/>
              <w:ind w:firstLine="567"/>
              <w:jc w:val="center"/>
              <w:rPr>
                <w:sz w:val="25"/>
                <w:szCs w:val="25"/>
              </w:rPr>
            </w:pPr>
            <w:r>
              <w:rPr>
                <w:sz w:val="25"/>
                <w:szCs w:val="25"/>
              </w:rPr>
              <w:t>"Прочие основные средства - иное движимое имущество учреждения"</w:t>
            </w:r>
          </w:p>
        </w:tc>
      </w:tr>
    </w:tbl>
    <w:p w14:paraId="21A7DF5D">
      <w:pPr>
        <w:pStyle w:val="20"/>
        <w:ind w:firstLine="567"/>
        <w:jc w:val="both"/>
        <w:rPr>
          <w:sz w:val="25"/>
          <w:szCs w:val="25"/>
        </w:rPr>
      </w:pPr>
    </w:p>
    <w:p w14:paraId="4E262E40">
      <w:pPr>
        <w:pStyle w:val="20"/>
        <w:ind w:firstLine="567"/>
        <w:jc w:val="both"/>
        <w:rPr>
          <w:sz w:val="25"/>
          <w:szCs w:val="25"/>
        </w:rPr>
      </w:pPr>
      <w:r>
        <w:rPr>
          <w:sz w:val="25"/>
          <w:szCs w:val="25"/>
        </w:rPr>
        <w:t>6.21. Ответственными за хранение технической документации основных средств, гарантийных талонов по основным средствам, по которым производителем (поставщиком) предусмотрен гарантийный срок являются материально-ответственное лицо, за которым, закреплены основные средства.</w:t>
      </w:r>
    </w:p>
    <w:p w14:paraId="40909D29">
      <w:pPr>
        <w:pStyle w:val="20"/>
        <w:ind w:firstLine="567"/>
        <w:jc w:val="both"/>
        <w:rPr>
          <w:sz w:val="25"/>
          <w:szCs w:val="25"/>
        </w:rPr>
      </w:pPr>
      <w:r>
        <w:rPr>
          <w:sz w:val="25"/>
          <w:szCs w:val="25"/>
        </w:rPr>
        <w:t>6.22. На все объекты основных средств начисляется амортизация. Начисление амортизации объекта основных средств производится линейным способом исходя                  из балансовой стоимости объектов основных средств и нормы амортизации, исчисленной исходя из срока полезного использования этих объектов.</w:t>
      </w:r>
    </w:p>
    <w:p w14:paraId="0CA9FA90">
      <w:pPr>
        <w:pStyle w:val="20"/>
        <w:ind w:firstLine="567"/>
        <w:jc w:val="both"/>
        <w:rPr>
          <w:sz w:val="25"/>
          <w:szCs w:val="25"/>
        </w:rPr>
      </w:pPr>
      <w:r>
        <w:rPr>
          <w:sz w:val="25"/>
          <w:szCs w:val="25"/>
        </w:rPr>
        <w:t>Начисление амортизации начинается с 1-го числа месяца, следующего за месяцем принятия объекта к бюджетному учету, и производится до полного погашения стоимости этого объекта либо его выбытия.</w:t>
      </w:r>
    </w:p>
    <w:p w14:paraId="15A78168">
      <w:pPr>
        <w:pStyle w:val="20"/>
        <w:ind w:firstLine="567"/>
        <w:jc w:val="both"/>
        <w:rPr>
          <w:sz w:val="25"/>
          <w:szCs w:val="25"/>
        </w:rPr>
      </w:pPr>
      <w:r>
        <w:rPr>
          <w:sz w:val="25"/>
          <w:szCs w:val="25"/>
        </w:rPr>
        <w:t>Начисление амортизации не может производиться свыше 100 процентов стоимости амортизируемого объекта.</w:t>
      </w:r>
    </w:p>
    <w:p w14:paraId="22FF3E32">
      <w:pPr>
        <w:pStyle w:val="20"/>
        <w:ind w:firstLine="567"/>
        <w:jc w:val="both"/>
        <w:rPr>
          <w:sz w:val="25"/>
          <w:szCs w:val="25"/>
        </w:rPr>
      </w:pPr>
      <w:r>
        <w:rPr>
          <w:sz w:val="25"/>
          <w:szCs w:val="25"/>
        </w:rPr>
        <w:t>В случаях изменения срока полезного использования в связи с изменением первоначально принятых нормативных показателей функционирования амортизируемого объекта основного средства, в том числе в результате проведенной достройки, дооборудования, реконструкции, модернизации или частичной ликвидации (разукомплектации), начиная с месяца, в котором был изменен срок полезного использования, расчет годовой суммы амортизации осуществляется линейным методом, исходя из остаточной стоимости амортизируемого объекта на дату изменения срока полезного использования и уточненной нормы амортизации, исчисленной исходя из оставшегося срока полезного использования на дату изменения срока использования.</w:t>
      </w:r>
    </w:p>
    <w:p w14:paraId="5502EBBF">
      <w:pPr>
        <w:pStyle w:val="20"/>
        <w:ind w:firstLine="567"/>
        <w:jc w:val="both"/>
        <w:rPr>
          <w:sz w:val="25"/>
          <w:szCs w:val="25"/>
        </w:rPr>
      </w:pPr>
      <w:r>
        <w:rPr>
          <w:sz w:val="25"/>
          <w:szCs w:val="25"/>
        </w:rPr>
        <w:t>Под оставшимся сроком полезного использования на соответствующую дату понимается срок полезного использования амортизируемого объекта, уменьшенный  на срок его фактического использования на соответствующую дату.</w:t>
      </w:r>
    </w:p>
    <w:p w14:paraId="2BC45530">
      <w:pPr>
        <w:pStyle w:val="20"/>
        <w:ind w:firstLine="567"/>
        <w:jc w:val="both"/>
        <w:rPr>
          <w:sz w:val="25"/>
          <w:szCs w:val="25"/>
        </w:rPr>
      </w:pPr>
      <w:r>
        <w:rPr>
          <w:sz w:val="25"/>
          <w:szCs w:val="25"/>
        </w:rPr>
        <w:t>При принятии к учету объекта основного средства по балансовой стоимости с ранее начисленной суммой амортизации расчет годовой суммы амортизации осуществляется линейным методом, исходя из остаточной стоимости амортизируемого объекта на дату его принятия к учету, и нормой амортизации, исчисленной, исходя из оставшегося срока полезного использования на дату его принятия к учету.</w:t>
      </w:r>
    </w:p>
    <w:p w14:paraId="10666D58">
      <w:pPr>
        <w:pStyle w:val="20"/>
        <w:ind w:firstLine="567"/>
        <w:jc w:val="both"/>
        <w:rPr>
          <w:sz w:val="25"/>
          <w:szCs w:val="25"/>
        </w:rPr>
      </w:pPr>
      <w:r>
        <w:rPr>
          <w:sz w:val="25"/>
          <w:szCs w:val="25"/>
        </w:rPr>
        <w:t>Начисление амортизации на объекты прекращается с 1-го числа месяца, следующего за месяцем прекращения признания (выбытия его из бюджетного учета), или с 1-го числа месяца, следующего за месяцем, в котором остаточная стоимость объекта основных средств, стала равной нулю.</w:t>
      </w:r>
    </w:p>
    <w:p w14:paraId="6D8B959B">
      <w:pPr>
        <w:pStyle w:val="20"/>
        <w:ind w:firstLine="567"/>
        <w:jc w:val="both"/>
        <w:rPr>
          <w:sz w:val="25"/>
          <w:szCs w:val="25"/>
        </w:rPr>
      </w:pPr>
      <w:r>
        <w:rPr>
          <w:sz w:val="25"/>
          <w:szCs w:val="25"/>
        </w:rPr>
        <w:t>Начисленная в размере 100 процентов стоимости амортизация на объекты, которые пригодны для дальнейшей эксплуатации (использования), не может служить основанием для принятия решения об их списании по причине полной амортизации и (или) нулевой остаточной стоимости.</w:t>
      </w:r>
    </w:p>
    <w:p w14:paraId="6DE1FF4F">
      <w:pPr>
        <w:pStyle w:val="20"/>
        <w:ind w:firstLine="567"/>
        <w:jc w:val="both"/>
        <w:rPr>
          <w:sz w:val="25"/>
          <w:szCs w:val="25"/>
        </w:rPr>
      </w:pPr>
      <w:r>
        <w:rPr>
          <w:sz w:val="25"/>
          <w:szCs w:val="25"/>
        </w:rPr>
        <w:t xml:space="preserve">Начисление амортизации на объекты основных средств: </w:t>
      </w:r>
    </w:p>
    <w:p w14:paraId="7CD81596">
      <w:pPr>
        <w:pStyle w:val="20"/>
        <w:ind w:firstLine="567"/>
        <w:jc w:val="both"/>
        <w:rPr>
          <w:sz w:val="25"/>
          <w:szCs w:val="25"/>
        </w:rPr>
      </w:pPr>
      <w:r>
        <w:rPr>
          <w:sz w:val="25"/>
          <w:szCs w:val="25"/>
        </w:rPr>
        <w:t xml:space="preserve">     - стоимостью до 10000 рублей включительно амортизация не начисляется;</w:t>
      </w:r>
    </w:p>
    <w:p w14:paraId="7C829EEE">
      <w:pPr>
        <w:pStyle w:val="20"/>
        <w:ind w:firstLine="567"/>
        <w:jc w:val="both"/>
        <w:rPr>
          <w:sz w:val="25"/>
          <w:szCs w:val="25"/>
        </w:rPr>
      </w:pPr>
      <w:r>
        <w:rPr>
          <w:sz w:val="25"/>
          <w:szCs w:val="25"/>
        </w:rPr>
        <w:t>- стоимостью свыше 10000 рублей до 100000 рублей включительно - амортизация начисляется в размере 100 процентов первоначальной стоимости при вводе его                         в эксплуатацию;</w:t>
      </w:r>
    </w:p>
    <w:p w14:paraId="708BC662">
      <w:pPr>
        <w:pStyle w:val="20"/>
        <w:ind w:firstLine="567"/>
        <w:jc w:val="both"/>
        <w:rPr>
          <w:sz w:val="25"/>
          <w:szCs w:val="25"/>
        </w:rPr>
      </w:pPr>
      <w:r>
        <w:rPr>
          <w:sz w:val="25"/>
          <w:szCs w:val="25"/>
        </w:rPr>
        <w:t>- стоимостью свыше 100000 рублей амортизация начисляется в соответствии                       с рассчитанными нормами амортизации.</w:t>
      </w:r>
    </w:p>
    <w:p w14:paraId="3136438A">
      <w:pPr>
        <w:pStyle w:val="20"/>
        <w:ind w:firstLine="567"/>
        <w:jc w:val="both"/>
        <w:rPr>
          <w:sz w:val="25"/>
          <w:szCs w:val="25"/>
        </w:rPr>
      </w:pPr>
      <w:r>
        <w:rPr>
          <w:sz w:val="25"/>
          <w:szCs w:val="25"/>
        </w:rPr>
        <w:t>На структурную часть объекта основных средств начисляется амортизация отдельно от амортизации иных частей, составляющих совместно со структурными частями объекта основных средств единый объект имущества.</w:t>
      </w:r>
    </w:p>
    <w:p w14:paraId="76264784">
      <w:pPr>
        <w:pStyle w:val="20"/>
        <w:ind w:firstLine="567"/>
        <w:jc w:val="both"/>
        <w:rPr>
          <w:sz w:val="25"/>
          <w:szCs w:val="25"/>
        </w:rPr>
      </w:pPr>
      <w:r>
        <w:rPr>
          <w:sz w:val="25"/>
          <w:szCs w:val="25"/>
        </w:rPr>
        <w:t>При переоценке объекта основных средств сумма накопленной амортизации, исчисленная на дату переоценки, учитывается способом пересчета накопленной амортизации, при котором балансовая стоимость и накопленная амортизация увеличиваются (умножаются) на одинаковый коэффициент, и при их суммировании получается переоцененная стоимость на дату проведения переоценки.</w:t>
      </w:r>
    </w:p>
    <w:p w14:paraId="126FD11D">
      <w:pPr>
        <w:pStyle w:val="20"/>
        <w:ind w:firstLine="567"/>
        <w:jc w:val="both"/>
        <w:rPr>
          <w:sz w:val="25"/>
          <w:szCs w:val="25"/>
        </w:rPr>
      </w:pPr>
      <w:r>
        <w:rPr>
          <w:sz w:val="25"/>
          <w:szCs w:val="25"/>
        </w:rPr>
        <w:t>Начисленная амортизация по объектам основных средств отражается в бюджетном учете путем накопления на соответствующих счетах Рабочего плана счетов.</w:t>
      </w:r>
    </w:p>
    <w:p w14:paraId="4C7AC104">
      <w:pPr>
        <w:pStyle w:val="20"/>
        <w:ind w:firstLine="567"/>
        <w:jc w:val="both"/>
        <w:rPr>
          <w:sz w:val="25"/>
          <w:szCs w:val="25"/>
        </w:rPr>
      </w:pPr>
      <w:r>
        <w:rPr>
          <w:sz w:val="25"/>
          <w:szCs w:val="25"/>
        </w:rPr>
        <w:t>6.23. Разукомплектация (частичная ликвидация) основных средств отражается «актом разукомплектации или частичной ликвидации» (Основание: пункт 27 Инструкции 157н).</w:t>
      </w:r>
    </w:p>
    <w:p w14:paraId="5B2932DC">
      <w:pPr>
        <w:pStyle w:val="20"/>
        <w:ind w:firstLine="567"/>
        <w:jc w:val="both"/>
        <w:rPr>
          <w:sz w:val="25"/>
          <w:szCs w:val="25"/>
        </w:rPr>
      </w:pPr>
      <w:r>
        <w:rPr>
          <w:sz w:val="25"/>
          <w:szCs w:val="25"/>
        </w:rPr>
        <w:t>6.24. При разукомплектации основных средств производится полный без остатка раздел балансовой стоимости и сумм начисленной амортизации. Стоимость выделяемых при разукомплектации (частичной ликвидации) объектов основных средств определяется:</w:t>
      </w:r>
    </w:p>
    <w:p w14:paraId="098D2690">
      <w:pPr>
        <w:pStyle w:val="20"/>
        <w:ind w:firstLine="567"/>
        <w:jc w:val="both"/>
        <w:rPr>
          <w:sz w:val="25"/>
          <w:szCs w:val="25"/>
        </w:rPr>
      </w:pPr>
      <w:r>
        <w:rPr>
          <w:sz w:val="25"/>
          <w:szCs w:val="25"/>
        </w:rPr>
        <w:t xml:space="preserve">     - для зданий – пропорционально площади выделяемых частей;</w:t>
      </w:r>
    </w:p>
    <w:p w14:paraId="23B2CF4A">
      <w:pPr>
        <w:pStyle w:val="20"/>
        <w:ind w:firstLine="567"/>
        <w:jc w:val="both"/>
        <w:rPr>
          <w:sz w:val="25"/>
          <w:szCs w:val="25"/>
        </w:rPr>
      </w:pPr>
      <w:r>
        <w:rPr>
          <w:sz w:val="25"/>
          <w:szCs w:val="25"/>
        </w:rPr>
        <w:t xml:space="preserve">     - для сооружений, имеющих линейную протяженность, - пропорционально длине;</w:t>
      </w:r>
    </w:p>
    <w:p w14:paraId="4C359E88">
      <w:pPr>
        <w:pStyle w:val="20"/>
        <w:ind w:firstLine="567"/>
        <w:jc w:val="both"/>
        <w:rPr>
          <w:sz w:val="25"/>
          <w:szCs w:val="25"/>
        </w:rPr>
      </w:pPr>
      <w:r>
        <w:rPr>
          <w:sz w:val="25"/>
          <w:szCs w:val="25"/>
        </w:rPr>
        <w:t xml:space="preserve">     - для объектов компьютерной техники (при разукомплектации) – пропорционально стоимости компонентов для аналогичной техники.</w:t>
      </w:r>
    </w:p>
    <w:p w14:paraId="67A17B1A">
      <w:pPr>
        <w:pStyle w:val="20"/>
        <w:ind w:firstLine="567"/>
        <w:jc w:val="both"/>
        <w:rPr>
          <w:i/>
          <w:sz w:val="25"/>
          <w:szCs w:val="25"/>
        </w:rPr>
      </w:pPr>
      <w:r>
        <w:rPr>
          <w:sz w:val="25"/>
          <w:szCs w:val="25"/>
        </w:rPr>
        <w:t>6.25. Выбытие с бухгалтерского учета объектов основных средств, выявленных               в ходе проведения инвентаризации как объекты, не признанные в качестве актива                    в связи с физическим или моральным износом и невозможностью (нецелесообразностью) его дальнейшего использования на основании решения комиссии отражается на соответствующих балансовых счетах бухгалтерского учета - по кредиту соответствующих балансовых счетов учета основных средств (Основание: п.46 ФСБУ № 257 н)</w:t>
      </w:r>
      <w:r>
        <w:rPr>
          <w:i/>
          <w:sz w:val="25"/>
          <w:szCs w:val="25"/>
        </w:rPr>
        <w:t xml:space="preserve"> </w:t>
      </w:r>
      <w:r>
        <w:rPr>
          <w:sz w:val="25"/>
          <w:szCs w:val="25"/>
        </w:rPr>
        <w:t>и до момента его демонтажа (утилизации, уничтожения) отражается на забалансовом счете 02.</w:t>
      </w:r>
    </w:p>
    <w:p w14:paraId="1A41D771">
      <w:pPr>
        <w:pStyle w:val="20"/>
        <w:ind w:firstLine="567"/>
        <w:jc w:val="both"/>
        <w:rPr>
          <w:sz w:val="25"/>
          <w:szCs w:val="25"/>
        </w:rPr>
      </w:pPr>
      <w:r>
        <w:rPr>
          <w:sz w:val="25"/>
          <w:szCs w:val="25"/>
        </w:rPr>
        <w:t>6.26. Списание основных средств, пришедших в негодность, производится                         в установленном порядке на основании актов о списании основных средств                                   в бюджетных учреждениях ф.0306033, в т. ч. находящихся на забалансовом счете 21.</w:t>
      </w:r>
    </w:p>
    <w:p w14:paraId="57BEB5FD">
      <w:pPr>
        <w:pStyle w:val="20"/>
        <w:ind w:firstLine="567"/>
        <w:jc w:val="both"/>
        <w:rPr>
          <w:color w:val="FF0000"/>
          <w:sz w:val="25"/>
          <w:szCs w:val="25"/>
        </w:rPr>
      </w:pPr>
      <w:r>
        <w:rPr>
          <w:sz w:val="25"/>
          <w:szCs w:val="25"/>
        </w:rPr>
        <w:t>6.27. Обесценение активов администрации производится в соответствии                                         с Постановлением Правительства РФ о переоценке основных фондов.</w:t>
      </w:r>
    </w:p>
    <w:p w14:paraId="1BC5EF0C">
      <w:pPr>
        <w:pStyle w:val="20"/>
        <w:ind w:firstLine="567"/>
        <w:jc w:val="both"/>
        <w:rPr>
          <w:sz w:val="25"/>
          <w:szCs w:val="25"/>
        </w:rPr>
      </w:pPr>
      <w:r>
        <w:rPr>
          <w:sz w:val="25"/>
          <w:szCs w:val="25"/>
        </w:rPr>
        <w:t>6.28. Переоценка основных фондов производится в течение года, исходя                            из рыночной стоимости на момент переоценки, используя коэффициенты пересчета, утвержденные Федеральной службой государственной статистики на основании соответствующего постановления Правительства РФ.</w:t>
      </w:r>
    </w:p>
    <w:p w14:paraId="28DF6499">
      <w:pPr>
        <w:pStyle w:val="20"/>
        <w:ind w:firstLine="567"/>
        <w:jc w:val="both"/>
        <w:rPr>
          <w:sz w:val="25"/>
          <w:szCs w:val="25"/>
        </w:rPr>
      </w:pPr>
    </w:p>
    <w:p w14:paraId="14492C84">
      <w:pPr>
        <w:pStyle w:val="20"/>
        <w:ind w:firstLine="567"/>
        <w:jc w:val="center"/>
        <w:rPr>
          <w:b/>
          <w:sz w:val="25"/>
          <w:szCs w:val="25"/>
        </w:rPr>
      </w:pPr>
      <w:r>
        <w:rPr>
          <w:b/>
          <w:sz w:val="25"/>
          <w:szCs w:val="25"/>
        </w:rPr>
        <w:t>7.  Учет материальных запасов</w:t>
      </w:r>
    </w:p>
    <w:p w14:paraId="2B01D9D0">
      <w:pPr>
        <w:pStyle w:val="20"/>
        <w:ind w:firstLine="567"/>
        <w:jc w:val="both"/>
        <w:rPr>
          <w:sz w:val="16"/>
          <w:szCs w:val="16"/>
        </w:rPr>
      </w:pPr>
    </w:p>
    <w:p w14:paraId="30321F17">
      <w:pPr>
        <w:pStyle w:val="20"/>
        <w:ind w:firstLine="567"/>
        <w:jc w:val="both"/>
        <w:rPr>
          <w:sz w:val="25"/>
          <w:szCs w:val="25"/>
        </w:rPr>
      </w:pPr>
      <w:r>
        <w:rPr>
          <w:sz w:val="25"/>
          <w:szCs w:val="25"/>
        </w:rPr>
        <w:t xml:space="preserve">7.1. Учет материальных запасов осуществляется в соответствии с п.п. 98-120 Инструкции №157н, п.п. 21-26 Инструкции № 162н. </w:t>
      </w:r>
    </w:p>
    <w:p w14:paraId="5888405D">
      <w:pPr>
        <w:pStyle w:val="20"/>
        <w:ind w:firstLine="567"/>
        <w:jc w:val="both"/>
        <w:rPr>
          <w:sz w:val="25"/>
          <w:szCs w:val="25"/>
        </w:rPr>
      </w:pPr>
      <w:r>
        <w:rPr>
          <w:sz w:val="25"/>
          <w:szCs w:val="25"/>
        </w:rPr>
        <w:t>К материальным запасам относятся предметы, используемые в деятельности администрации в течение периода, не превышающего 12 месяцев, независимо                                             от их стоимости, включая хозяйственные товары: ведра, швабры, канцтовары                              и канцелярские принадлежности, в том числе для бумаг, дыроколы, степлеры, штамбы, печати, дискеты, CD-диски, карты памяти и иные носители информации, изделия из тонких материалов (бумаги, картона и тканей).</w:t>
      </w:r>
    </w:p>
    <w:p w14:paraId="1BEF7797">
      <w:pPr>
        <w:pStyle w:val="20"/>
        <w:ind w:firstLine="567"/>
        <w:jc w:val="both"/>
        <w:rPr>
          <w:sz w:val="25"/>
          <w:szCs w:val="25"/>
        </w:rPr>
      </w:pPr>
      <w:r>
        <w:rPr>
          <w:sz w:val="25"/>
          <w:szCs w:val="25"/>
        </w:rPr>
        <w:t>7.2. В зависимости от вида запасов, характера и порядка приобретения (создания) и (или) потребления (продажи, использования) единицей учета запасов: партия, однородная группа.</w:t>
      </w:r>
    </w:p>
    <w:p w14:paraId="491161F3">
      <w:pPr>
        <w:pStyle w:val="20"/>
        <w:ind w:firstLine="567"/>
        <w:jc w:val="both"/>
        <w:rPr>
          <w:sz w:val="25"/>
          <w:szCs w:val="25"/>
        </w:rPr>
      </w:pPr>
      <w:r>
        <w:rPr>
          <w:sz w:val="25"/>
          <w:szCs w:val="25"/>
        </w:rPr>
        <w:t>После признания запасов в бухгалтерском учете допускаются последующие изменения единиц их учета.</w:t>
      </w:r>
    </w:p>
    <w:p w14:paraId="5A3C5F10">
      <w:pPr>
        <w:pStyle w:val="20"/>
        <w:ind w:firstLine="567"/>
        <w:jc w:val="both"/>
        <w:rPr>
          <w:sz w:val="25"/>
          <w:szCs w:val="25"/>
        </w:rPr>
      </w:pPr>
      <w:r>
        <w:rPr>
          <w:sz w:val="25"/>
          <w:szCs w:val="25"/>
        </w:rPr>
        <w:t>7.3.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 на основании первичных учетных документов.</w:t>
      </w:r>
    </w:p>
    <w:p w14:paraId="6C4E78E4">
      <w:pPr>
        <w:pStyle w:val="20"/>
        <w:ind w:firstLine="567"/>
        <w:jc w:val="both"/>
        <w:rPr>
          <w:sz w:val="25"/>
          <w:szCs w:val="25"/>
        </w:rPr>
      </w:pPr>
      <w:r>
        <w:rPr>
          <w:sz w:val="25"/>
          <w:szCs w:val="25"/>
        </w:rPr>
        <w:t>7.4. В соответствии с п.106 Инструкции № 157н фактическая стоимость материальных запасов, остающихся в результате разборки, утилизации (ликвидации) основных средств или иного имущества, определяется исходя из их текущей рыночной стоимости на дату принятия к бухгалтерскому учету, а также сумм, уплачиваемых                 за доставку материальных запасов и приведение их в состояние, пригодное для использования</w:t>
      </w:r>
      <w:r>
        <w:rPr>
          <w:i/>
          <w:sz w:val="25"/>
          <w:szCs w:val="25"/>
        </w:rPr>
        <w:t xml:space="preserve"> </w:t>
      </w:r>
      <w:r>
        <w:rPr>
          <w:sz w:val="25"/>
          <w:szCs w:val="25"/>
        </w:rPr>
        <w:t>(Основание: п.106 Инструкции № 157н).</w:t>
      </w:r>
    </w:p>
    <w:p w14:paraId="30D2B72E">
      <w:pPr>
        <w:pStyle w:val="20"/>
        <w:ind w:firstLine="567"/>
        <w:jc w:val="both"/>
        <w:rPr>
          <w:sz w:val="25"/>
          <w:szCs w:val="25"/>
        </w:rPr>
      </w:pPr>
      <w:r>
        <w:rPr>
          <w:sz w:val="25"/>
          <w:szCs w:val="25"/>
        </w:rPr>
        <w:t>7.5. Первоначальной (фактической) стоимостью неучтенных материальных запасов, принимаемых к учету по результатам инвентаризации, признается их текущая справедливая стоимость на дату принятия к бюджетному учету, увеличенная                           на стоимость услуг, связанных с доставкой и приведением их в состояние, пригодное для использования.</w:t>
      </w:r>
    </w:p>
    <w:p w14:paraId="1E00ACE1">
      <w:pPr>
        <w:pStyle w:val="20"/>
        <w:ind w:firstLine="567"/>
        <w:jc w:val="both"/>
        <w:rPr>
          <w:sz w:val="25"/>
          <w:szCs w:val="25"/>
        </w:rPr>
      </w:pPr>
      <w:r>
        <w:rPr>
          <w:sz w:val="25"/>
          <w:szCs w:val="25"/>
        </w:rPr>
        <w:t>Определение текущей справедливой стоимости в целях принятия к бюджетному учету материальных запасов производится на основе рыночной цены, действующей    на дату принятия к учету (оприходования) имущества на данный или аналогичный вид имущества. Данные о действующей рыночной цене должны быть подтверждены документально, а в случаях невозможности документального подтверждения - экспертным путем, решением Комиссии.</w:t>
      </w:r>
    </w:p>
    <w:p w14:paraId="1B1F1304">
      <w:pPr>
        <w:pStyle w:val="20"/>
        <w:ind w:firstLine="567"/>
        <w:jc w:val="both"/>
        <w:rPr>
          <w:sz w:val="25"/>
          <w:szCs w:val="25"/>
        </w:rPr>
      </w:pPr>
      <w:r>
        <w:rPr>
          <w:sz w:val="25"/>
          <w:szCs w:val="25"/>
        </w:rPr>
        <w:t>Рыночная стоимость определяется на основании предложений по схожим объектам, размещенных в сети Интернет, коммерческих предложений.</w:t>
      </w:r>
    </w:p>
    <w:p w14:paraId="563ED2E7">
      <w:pPr>
        <w:pStyle w:val="20"/>
        <w:ind w:firstLine="567"/>
        <w:jc w:val="both"/>
        <w:rPr>
          <w:sz w:val="25"/>
          <w:szCs w:val="25"/>
        </w:rPr>
      </w:pPr>
      <w:r>
        <w:rPr>
          <w:sz w:val="25"/>
          <w:szCs w:val="25"/>
        </w:rPr>
        <w:t>7.6. Прием, хранение, материальный учет и выдача материальных ценностей осуществляется материально ответственному лицу, с которым заключен договор                        о полной индивидуальной материальной ответственности.</w:t>
      </w:r>
    </w:p>
    <w:p w14:paraId="089FA9CB">
      <w:pPr>
        <w:pStyle w:val="20"/>
        <w:ind w:firstLine="567"/>
        <w:jc w:val="both"/>
        <w:rPr>
          <w:i/>
          <w:color w:val="000000"/>
          <w:sz w:val="25"/>
          <w:szCs w:val="25"/>
        </w:rPr>
      </w:pPr>
      <w:r>
        <w:rPr>
          <w:sz w:val="25"/>
          <w:szCs w:val="25"/>
        </w:rPr>
        <w:t xml:space="preserve">7.7. Выбытие (отпуск, передача) материальных запасов производится                             </w:t>
      </w:r>
      <w:r>
        <w:rPr>
          <w:color w:val="000000"/>
          <w:sz w:val="25"/>
          <w:szCs w:val="25"/>
        </w:rPr>
        <w:t>по фактической стоимости каждой единицы.</w:t>
      </w:r>
    </w:p>
    <w:p w14:paraId="3CF66193">
      <w:pPr>
        <w:pStyle w:val="20"/>
        <w:ind w:firstLine="567"/>
        <w:jc w:val="both"/>
        <w:rPr>
          <w:sz w:val="25"/>
          <w:szCs w:val="25"/>
        </w:rPr>
      </w:pPr>
      <w:r>
        <w:rPr>
          <w:color w:val="000000"/>
          <w:sz w:val="25"/>
          <w:szCs w:val="25"/>
        </w:rPr>
        <w:t>7.8. Списание материальных запасов производится в установленном порядке                   на основании акта списания материальных запасов форма № 0504230, по ведомости выдачи материальных ценностей на нужды учреждений форма № 0504210 по средней фактической стоимости.</w:t>
      </w:r>
      <w:r>
        <w:rPr>
          <w:i/>
          <w:color w:val="000000"/>
          <w:sz w:val="25"/>
          <w:szCs w:val="25"/>
        </w:rPr>
        <w:t xml:space="preserve"> </w:t>
      </w:r>
      <w:r>
        <w:rPr>
          <w:color w:val="000000"/>
          <w:sz w:val="25"/>
          <w:szCs w:val="25"/>
        </w:rPr>
        <w:t>(Основание: п.46 ФСБУ №256н; 108 Инструкции № 157н).</w:t>
      </w:r>
      <w:r>
        <w:rPr>
          <w:sz w:val="25"/>
          <w:szCs w:val="25"/>
        </w:rPr>
        <w:t xml:space="preserve">     </w:t>
      </w:r>
    </w:p>
    <w:p w14:paraId="23D6443B">
      <w:pPr>
        <w:pStyle w:val="20"/>
        <w:ind w:firstLine="567"/>
        <w:jc w:val="both"/>
        <w:rPr>
          <w:sz w:val="25"/>
          <w:szCs w:val="25"/>
        </w:rPr>
      </w:pPr>
      <w:r>
        <w:rPr>
          <w:sz w:val="25"/>
          <w:szCs w:val="25"/>
        </w:rPr>
        <w:t>7.9. Выбытие материальных запасов по основанию их списания в результате хищений, недостач, потерь производится на основании надлежаще оформленных актов, с отражением стоимости материальных ценностей на уменьшение финансового результата текущего финансового года, с одновременным предъявлением к виновным лицам сумм причиненных ущербов.</w:t>
      </w:r>
    </w:p>
    <w:p w14:paraId="254377E1">
      <w:pPr>
        <w:pStyle w:val="20"/>
        <w:ind w:firstLine="567"/>
        <w:jc w:val="both"/>
        <w:rPr>
          <w:sz w:val="25"/>
          <w:szCs w:val="25"/>
        </w:rPr>
      </w:pPr>
      <w:r>
        <w:rPr>
          <w:sz w:val="25"/>
          <w:szCs w:val="25"/>
        </w:rPr>
        <w:t>7.10. Подлежащая возмещению виновными лицами сумма ущерба, причиненного в результате хищений, недостач, порчи признается по справедливой стоимости, определяемой методом рыночных цен (Основание: п.п.52,54 ФСБУ № 256 н).</w:t>
      </w:r>
    </w:p>
    <w:p w14:paraId="1B91A58B">
      <w:pPr>
        <w:pStyle w:val="20"/>
        <w:ind w:firstLine="567"/>
        <w:jc w:val="both"/>
        <w:rPr>
          <w:sz w:val="25"/>
          <w:szCs w:val="25"/>
        </w:rPr>
      </w:pPr>
    </w:p>
    <w:p w14:paraId="5479B631">
      <w:pPr>
        <w:pStyle w:val="20"/>
        <w:ind w:firstLine="567"/>
        <w:jc w:val="both"/>
        <w:rPr>
          <w:sz w:val="25"/>
          <w:szCs w:val="25"/>
        </w:rPr>
      </w:pPr>
    </w:p>
    <w:p w14:paraId="2B4CE003">
      <w:pPr>
        <w:pStyle w:val="20"/>
        <w:ind w:firstLine="567"/>
        <w:jc w:val="both"/>
        <w:rPr>
          <w:sz w:val="25"/>
          <w:szCs w:val="25"/>
        </w:rPr>
      </w:pPr>
    </w:p>
    <w:p w14:paraId="79FA75D6">
      <w:pPr>
        <w:pStyle w:val="20"/>
        <w:ind w:firstLine="567"/>
        <w:jc w:val="center"/>
        <w:rPr>
          <w:b/>
          <w:sz w:val="25"/>
          <w:szCs w:val="25"/>
        </w:rPr>
      </w:pPr>
      <w:r>
        <w:rPr>
          <w:b/>
          <w:sz w:val="25"/>
          <w:szCs w:val="25"/>
        </w:rPr>
        <w:t>8. Учет вложений в нефинансовые активы</w:t>
      </w:r>
    </w:p>
    <w:p w14:paraId="39698C7F">
      <w:pPr>
        <w:pStyle w:val="20"/>
        <w:ind w:firstLine="567"/>
        <w:jc w:val="both"/>
        <w:rPr>
          <w:sz w:val="16"/>
          <w:szCs w:val="16"/>
        </w:rPr>
      </w:pPr>
    </w:p>
    <w:p w14:paraId="76A5DF10">
      <w:pPr>
        <w:pStyle w:val="20"/>
        <w:ind w:firstLine="567"/>
        <w:jc w:val="both"/>
        <w:rPr>
          <w:sz w:val="25"/>
          <w:szCs w:val="25"/>
        </w:rPr>
      </w:pPr>
      <w:r>
        <w:rPr>
          <w:sz w:val="25"/>
          <w:szCs w:val="25"/>
        </w:rPr>
        <w:t>Вложения в объекты нефинансовых активов принимаются к бюджетному учету в объеме фактических затрат в объекты соответствующих нефинансовых активов при их приобретении, создании, модернизации (реконструкции, достройке, дооборудовании), изготовлении, а также затрат, которые впоследствии будут приняты к бюджетному учету в качестве объектов нефинансовых активов.</w:t>
      </w:r>
    </w:p>
    <w:p w14:paraId="1D66EBCC">
      <w:pPr>
        <w:pStyle w:val="20"/>
        <w:ind w:firstLine="567"/>
        <w:jc w:val="both"/>
        <w:rPr>
          <w:sz w:val="25"/>
          <w:szCs w:val="25"/>
        </w:rPr>
      </w:pPr>
      <w:r>
        <w:rPr>
          <w:sz w:val="25"/>
          <w:szCs w:val="25"/>
        </w:rPr>
        <w:t>Учет операций по формированию фактических вложений ведется                                   в соответствии с содержанием факта хозяйственной жизни: в Журнале операций                     по выбытию и перемещению нефинансовых активов; в Журнале операций расчетов                         с поставщиками и подрядчиками либо Журнале операций расчетов с подотчетными лицами; в Журнале по прочим операциям.</w:t>
      </w:r>
    </w:p>
    <w:p w14:paraId="54970105">
      <w:pPr>
        <w:pStyle w:val="20"/>
        <w:ind w:firstLine="567"/>
        <w:jc w:val="both"/>
        <w:rPr>
          <w:sz w:val="25"/>
          <w:szCs w:val="25"/>
        </w:rPr>
      </w:pPr>
    </w:p>
    <w:p w14:paraId="5F16EE25">
      <w:pPr>
        <w:pStyle w:val="20"/>
        <w:ind w:firstLine="567"/>
        <w:jc w:val="center"/>
        <w:rPr>
          <w:b/>
          <w:sz w:val="25"/>
          <w:szCs w:val="25"/>
        </w:rPr>
      </w:pPr>
      <w:r>
        <w:rPr>
          <w:b/>
          <w:sz w:val="25"/>
          <w:szCs w:val="25"/>
        </w:rPr>
        <w:t>9. Учет финансовых активов и обязательств</w:t>
      </w:r>
    </w:p>
    <w:p w14:paraId="0DCC7918">
      <w:pPr>
        <w:pStyle w:val="20"/>
        <w:ind w:firstLine="567"/>
        <w:jc w:val="both"/>
        <w:rPr>
          <w:sz w:val="25"/>
          <w:szCs w:val="25"/>
        </w:rPr>
      </w:pPr>
    </w:p>
    <w:p w14:paraId="4A5C5BA2">
      <w:pPr>
        <w:pStyle w:val="20"/>
        <w:ind w:firstLine="567"/>
        <w:jc w:val="center"/>
        <w:rPr>
          <w:b/>
          <w:sz w:val="25"/>
          <w:szCs w:val="25"/>
        </w:rPr>
      </w:pPr>
      <w:r>
        <w:rPr>
          <w:b/>
          <w:sz w:val="25"/>
          <w:szCs w:val="25"/>
        </w:rPr>
        <w:t>9.1. Денежные документы</w:t>
      </w:r>
    </w:p>
    <w:p w14:paraId="4F53080F">
      <w:pPr>
        <w:pStyle w:val="20"/>
        <w:ind w:firstLine="567"/>
        <w:jc w:val="both"/>
        <w:rPr>
          <w:sz w:val="25"/>
          <w:szCs w:val="25"/>
        </w:rPr>
      </w:pPr>
    </w:p>
    <w:p w14:paraId="42B2531F">
      <w:pPr>
        <w:pStyle w:val="20"/>
        <w:ind w:firstLine="567"/>
        <w:jc w:val="both"/>
        <w:rPr>
          <w:sz w:val="25"/>
          <w:szCs w:val="25"/>
        </w:rPr>
      </w:pPr>
      <w:r>
        <w:rPr>
          <w:sz w:val="25"/>
          <w:szCs w:val="25"/>
        </w:rPr>
        <w:t>В составе денежных документов учитываются:</w:t>
      </w:r>
    </w:p>
    <w:p w14:paraId="66185638">
      <w:pPr>
        <w:pStyle w:val="20"/>
        <w:ind w:firstLine="567"/>
        <w:jc w:val="both"/>
        <w:rPr>
          <w:sz w:val="25"/>
          <w:szCs w:val="25"/>
        </w:rPr>
      </w:pPr>
      <w:r>
        <w:rPr>
          <w:sz w:val="25"/>
          <w:szCs w:val="25"/>
        </w:rPr>
        <w:t xml:space="preserve">     - почтовые конверты с марками; </w:t>
      </w:r>
    </w:p>
    <w:p w14:paraId="5D673F34">
      <w:pPr>
        <w:pStyle w:val="20"/>
        <w:ind w:firstLine="567"/>
        <w:jc w:val="both"/>
        <w:rPr>
          <w:sz w:val="25"/>
          <w:szCs w:val="25"/>
        </w:rPr>
      </w:pPr>
      <w:r>
        <w:rPr>
          <w:sz w:val="25"/>
          <w:szCs w:val="25"/>
        </w:rPr>
        <w:t xml:space="preserve">     - отдельно приобретаемые почтовые марки;</w:t>
      </w:r>
    </w:p>
    <w:p w14:paraId="707BEE76">
      <w:pPr>
        <w:pStyle w:val="20"/>
        <w:ind w:firstLine="567"/>
        <w:jc w:val="both"/>
        <w:rPr>
          <w:sz w:val="25"/>
          <w:szCs w:val="25"/>
        </w:rPr>
      </w:pPr>
      <w:r>
        <w:rPr>
          <w:sz w:val="25"/>
          <w:szCs w:val="25"/>
        </w:rPr>
        <w:t>Прием в кассу и выдача из кассы таких документов оформляются Приходными кассовыми ордерами (ф. 0310001) и Расходными кассовыми ордерами (ф. 0310002) с оформлением на них записи «Фондовый».</w:t>
      </w:r>
    </w:p>
    <w:p w14:paraId="735D399B">
      <w:pPr>
        <w:pStyle w:val="20"/>
        <w:ind w:firstLine="567"/>
        <w:jc w:val="both"/>
        <w:rPr>
          <w:sz w:val="25"/>
          <w:szCs w:val="25"/>
        </w:rPr>
      </w:pPr>
      <w:r>
        <w:rPr>
          <w:sz w:val="25"/>
          <w:szCs w:val="25"/>
        </w:rPr>
        <w:t>Учет операций с денежными документами ведется на отдельных листах Кассовой книги учреждения с проставлением на них записи «Фондовый».</w:t>
      </w:r>
    </w:p>
    <w:p w14:paraId="3085BB30">
      <w:pPr>
        <w:pStyle w:val="20"/>
        <w:ind w:firstLine="567"/>
        <w:jc w:val="both"/>
        <w:rPr>
          <w:sz w:val="25"/>
          <w:szCs w:val="25"/>
        </w:rPr>
      </w:pPr>
      <w:r>
        <w:rPr>
          <w:sz w:val="25"/>
          <w:szCs w:val="25"/>
        </w:rPr>
        <w:t>Аналитический учет денежных документов ведется по их видам в Карточке учета средств и расчетов.</w:t>
      </w:r>
    </w:p>
    <w:p w14:paraId="038E685E">
      <w:pPr>
        <w:pStyle w:val="20"/>
        <w:ind w:firstLine="567"/>
        <w:jc w:val="both"/>
        <w:rPr>
          <w:sz w:val="25"/>
          <w:szCs w:val="25"/>
        </w:rPr>
      </w:pPr>
      <w:r>
        <w:rPr>
          <w:sz w:val="25"/>
          <w:szCs w:val="25"/>
        </w:rPr>
        <w:t>Учет операций с денежными документами ведется в Журнале по прочим операциям</w:t>
      </w:r>
    </w:p>
    <w:p w14:paraId="6950D1E8">
      <w:pPr>
        <w:pStyle w:val="20"/>
        <w:ind w:firstLine="567"/>
        <w:jc w:val="both"/>
        <w:rPr>
          <w:sz w:val="25"/>
          <w:szCs w:val="25"/>
        </w:rPr>
      </w:pPr>
    </w:p>
    <w:p w14:paraId="265C4F06">
      <w:pPr>
        <w:pStyle w:val="20"/>
        <w:ind w:firstLine="567"/>
        <w:jc w:val="center"/>
        <w:rPr>
          <w:b/>
          <w:sz w:val="25"/>
          <w:szCs w:val="25"/>
        </w:rPr>
      </w:pPr>
      <w:r>
        <w:rPr>
          <w:b/>
          <w:sz w:val="25"/>
          <w:szCs w:val="25"/>
        </w:rPr>
        <w:t>9.2. Доходы</w:t>
      </w:r>
    </w:p>
    <w:p w14:paraId="09DC959F">
      <w:pPr>
        <w:pStyle w:val="20"/>
        <w:ind w:firstLine="567"/>
        <w:jc w:val="both"/>
        <w:rPr>
          <w:sz w:val="25"/>
          <w:szCs w:val="25"/>
        </w:rPr>
      </w:pPr>
    </w:p>
    <w:p w14:paraId="46F5C9F2">
      <w:pPr>
        <w:pStyle w:val="20"/>
        <w:ind w:firstLine="567"/>
        <w:jc w:val="both"/>
        <w:rPr>
          <w:sz w:val="25"/>
          <w:szCs w:val="25"/>
        </w:rPr>
      </w:pPr>
      <w:r>
        <w:rPr>
          <w:sz w:val="25"/>
          <w:szCs w:val="25"/>
        </w:rPr>
        <w:t>Администрация, как главный администратор доходов бюджета муниципального округа Останкинский, ведет учет данных по прогнозным (плановым) показателям доходов (поступлений) на соответствующий финансовый год и их изменениям.</w:t>
      </w:r>
    </w:p>
    <w:p w14:paraId="496B4F84">
      <w:pPr>
        <w:pStyle w:val="20"/>
        <w:ind w:firstLine="567"/>
        <w:jc w:val="both"/>
        <w:rPr>
          <w:sz w:val="25"/>
          <w:szCs w:val="25"/>
        </w:rPr>
      </w:pPr>
      <w:r>
        <w:rPr>
          <w:sz w:val="25"/>
          <w:szCs w:val="25"/>
        </w:rPr>
        <w:t>Операции по отражению в бюджетном учете прогнозируемых доходов (поступлений) в разрезе кодов бюджетной классификации оформляются Бухгалтерской справкой (ф. 0504833).</w:t>
      </w:r>
    </w:p>
    <w:p w14:paraId="5A2A86E3">
      <w:pPr>
        <w:pStyle w:val="20"/>
        <w:ind w:firstLine="567"/>
        <w:jc w:val="both"/>
        <w:rPr>
          <w:sz w:val="25"/>
          <w:szCs w:val="25"/>
        </w:rPr>
      </w:pPr>
      <w:r>
        <w:rPr>
          <w:sz w:val="25"/>
          <w:szCs w:val="25"/>
        </w:rPr>
        <w:t>В целях реализации полномочий по администрированию доходов бюджета муниципального округа на очередной финансовый год закрепляется администрирование поступлений в бюджет муниципального округа по главе 900                                  с разбивкой по КБК распоряжением главы администрации.</w:t>
      </w:r>
    </w:p>
    <w:p w14:paraId="39B58C6C">
      <w:pPr>
        <w:pStyle w:val="20"/>
        <w:ind w:firstLine="567"/>
        <w:jc w:val="both"/>
        <w:rPr>
          <w:sz w:val="25"/>
          <w:szCs w:val="25"/>
        </w:rPr>
      </w:pPr>
      <w:r>
        <w:rPr>
          <w:sz w:val="25"/>
          <w:szCs w:val="25"/>
        </w:rPr>
        <w:t xml:space="preserve">Администрация, как администратор доходов бюджета муниципального округа Останкинский ведет учет данных по поступлениям доходов бюджета. </w:t>
      </w:r>
    </w:p>
    <w:p w14:paraId="27EC5E08">
      <w:pPr>
        <w:pStyle w:val="20"/>
        <w:ind w:firstLine="567"/>
        <w:jc w:val="both"/>
        <w:rPr>
          <w:sz w:val="25"/>
          <w:szCs w:val="25"/>
        </w:rPr>
      </w:pPr>
      <w:r>
        <w:rPr>
          <w:sz w:val="25"/>
          <w:szCs w:val="25"/>
        </w:rPr>
        <w:t>Доходом для целей бюджетного учета признается совершение обменных или необменных операций, в результате которых ожидается получение экономических выгод или полезного потенциала, связанных с этими операциями, при условии, что                   их сумма может быть надежно определена. Признание отдельных учетных групп доходов осуществляется с учетом положений ФСБУ № 32н.</w:t>
      </w:r>
    </w:p>
    <w:p w14:paraId="084AF6B7">
      <w:pPr>
        <w:pStyle w:val="20"/>
        <w:ind w:firstLine="567"/>
        <w:jc w:val="both"/>
        <w:rPr>
          <w:sz w:val="25"/>
          <w:szCs w:val="25"/>
        </w:rPr>
      </w:pPr>
      <w:r>
        <w:rPr>
          <w:sz w:val="25"/>
          <w:szCs w:val="25"/>
        </w:rPr>
        <w:t>Объектом бюджетного учета доходов от необменных операций - штрафов, неустоек, возмещения ущерба являются отдельные виды доходов от принудительных изъятий, штрафов неустоек и иных санкций с учетом оснований их возникновения согласно бюджетной классификации Российской Федерации.</w:t>
      </w:r>
    </w:p>
    <w:p w14:paraId="186780A7">
      <w:pPr>
        <w:pStyle w:val="20"/>
        <w:ind w:firstLine="567"/>
        <w:jc w:val="both"/>
        <w:rPr>
          <w:sz w:val="25"/>
          <w:szCs w:val="25"/>
        </w:rPr>
      </w:pPr>
      <w:r>
        <w:rPr>
          <w:sz w:val="25"/>
          <w:szCs w:val="25"/>
        </w:rPr>
        <w:t>Доходы от штрафов, возмещения ущерба, компенсации затрат признаются в учете на дату возникновения требования к плательщику штрафов, неустоек, возмещения ущерба (при вступлении в силу вынесенного постановления (решения) по делу                         об административном правонарушении, при предъявлении плательщику документа, устанавливающего право требования по уплате предусмотренных контрактом (договором, соглашением) неустоек (штрафов, пеней), компенсации затрат                                  и отражается в разрезе соответствующих статей КОСГУ по дебету счета 1 205 0000 «Расчеты по доходам»; дебету счета 1 209 0000 "Расчеты по ущербу и иным доходам" и кредиту счета 1 401 10 000 «Доходы текущего финансового года».</w:t>
      </w:r>
    </w:p>
    <w:p w14:paraId="79169430">
      <w:pPr>
        <w:pStyle w:val="20"/>
        <w:ind w:firstLine="567"/>
        <w:jc w:val="both"/>
        <w:rPr>
          <w:sz w:val="25"/>
          <w:szCs w:val="25"/>
        </w:rPr>
      </w:pPr>
      <w:r>
        <w:rPr>
          <w:sz w:val="25"/>
          <w:szCs w:val="25"/>
        </w:rPr>
        <w:t>Доходы от штрафов, пеней, неустоек, возмещения ущерба, компенсации затрат признаются в учете в сумме, указанной в соответствующих документах.</w:t>
      </w:r>
    </w:p>
    <w:p w14:paraId="2C6D2DB0">
      <w:pPr>
        <w:pStyle w:val="20"/>
        <w:ind w:firstLine="567"/>
        <w:jc w:val="both"/>
        <w:rPr>
          <w:sz w:val="25"/>
          <w:szCs w:val="25"/>
        </w:rPr>
      </w:pPr>
      <w:r>
        <w:rPr>
          <w:sz w:val="25"/>
          <w:szCs w:val="25"/>
        </w:rPr>
        <w:t>При безвозмездном получении объектов имущества - прочие доходы                                    от необменных операций признаются в бухгалтерском учете доходами текущего отчетного периода от безвозмездных поступлений по факту получения имущества                   от передающей стороны (Основание: п.39 ФСБУ № 32 н).</w:t>
      </w:r>
    </w:p>
    <w:p w14:paraId="569C4F39">
      <w:pPr>
        <w:pStyle w:val="20"/>
        <w:ind w:firstLine="567"/>
        <w:jc w:val="both"/>
        <w:rPr>
          <w:sz w:val="25"/>
          <w:szCs w:val="25"/>
        </w:rPr>
      </w:pPr>
      <w:r>
        <w:rPr>
          <w:sz w:val="25"/>
          <w:szCs w:val="25"/>
        </w:rPr>
        <w:t xml:space="preserve">Признание в бухгалтерском учете иных доходов от необменных операций при безвозмездном получении активов (материальных ценностей) осуществляется                            по справедливой стоимости безвозмездно полученных активов (материальных ценностей) на дату их получения. </w:t>
      </w:r>
    </w:p>
    <w:p w14:paraId="6645C685">
      <w:pPr>
        <w:pStyle w:val="20"/>
        <w:ind w:firstLine="567"/>
        <w:jc w:val="both"/>
        <w:rPr>
          <w:sz w:val="25"/>
          <w:szCs w:val="25"/>
        </w:rPr>
      </w:pPr>
      <w:r>
        <w:rPr>
          <w:sz w:val="25"/>
          <w:szCs w:val="25"/>
        </w:rPr>
        <w:t>Поступление доходов бюджета в виде денежных средств на лицевой счет администратора доходов бюджета отражается в разрезе соответствующих статей КОСГУ по дебету счета 1 210 02 000 «Расчеты по поступлениям в бюджет                                    с финансовыми органами» и кредиту счета 1 205 0000 «Расчеты по доходам», 1 209 0000 "Расчеты по ущербу и иным доходам".</w:t>
      </w:r>
    </w:p>
    <w:p w14:paraId="24CF4D06">
      <w:pPr>
        <w:pStyle w:val="20"/>
        <w:ind w:firstLine="567"/>
        <w:jc w:val="both"/>
        <w:rPr>
          <w:sz w:val="25"/>
          <w:szCs w:val="25"/>
        </w:rPr>
      </w:pPr>
      <w:r>
        <w:rPr>
          <w:sz w:val="25"/>
          <w:szCs w:val="25"/>
        </w:rPr>
        <w:t>Аналитический учет доходов ведется в журнале по прочим операциям.</w:t>
      </w:r>
    </w:p>
    <w:p w14:paraId="41C340AA">
      <w:pPr>
        <w:pStyle w:val="20"/>
        <w:ind w:firstLine="567"/>
        <w:jc w:val="both"/>
        <w:rPr>
          <w:sz w:val="25"/>
          <w:szCs w:val="25"/>
        </w:rPr>
      </w:pPr>
      <w:r>
        <w:rPr>
          <w:sz w:val="25"/>
          <w:szCs w:val="25"/>
        </w:rPr>
        <w:t xml:space="preserve">Аналитический учет поступлений в бюджет по счету 1 210 02 000 «Расчеты                            по поступлениям в бюджет с финансовыми органами» ведется на основании первичных документов, согласно которым отражены операции на лицевом счете администратора, и выписки из лицевого счета администратора доходов бюджета, предоставляемой органом Федерального казначейства соответствующему администратору. </w:t>
      </w:r>
    </w:p>
    <w:p w14:paraId="2306F497">
      <w:pPr>
        <w:pStyle w:val="20"/>
        <w:ind w:firstLine="567"/>
        <w:jc w:val="both"/>
        <w:rPr>
          <w:sz w:val="25"/>
          <w:szCs w:val="25"/>
        </w:rPr>
      </w:pPr>
      <w:r>
        <w:rPr>
          <w:sz w:val="25"/>
          <w:szCs w:val="25"/>
        </w:rPr>
        <w:t>Начисленные доходы и расходы за год составляют финансовый результат учреждения. Дебетовый остаток отражает отрицательный результат деятельности, кредитовый - положительный.</w:t>
      </w:r>
    </w:p>
    <w:p w14:paraId="1AF67D6D">
      <w:pPr>
        <w:pStyle w:val="20"/>
        <w:ind w:firstLine="567"/>
        <w:jc w:val="both"/>
        <w:rPr>
          <w:sz w:val="25"/>
          <w:szCs w:val="25"/>
        </w:rPr>
      </w:pPr>
    </w:p>
    <w:p w14:paraId="7DB8C4B9">
      <w:pPr>
        <w:pStyle w:val="20"/>
        <w:ind w:firstLine="567"/>
        <w:jc w:val="center"/>
        <w:rPr>
          <w:b/>
          <w:sz w:val="25"/>
          <w:szCs w:val="25"/>
        </w:rPr>
      </w:pPr>
      <w:r>
        <w:rPr>
          <w:b/>
          <w:sz w:val="25"/>
          <w:szCs w:val="25"/>
        </w:rPr>
        <w:t>9.3.  Расчеты по выданным авансам</w:t>
      </w:r>
    </w:p>
    <w:p w14:paraId="31BFDBCE">
      <w:pPr>
        <w:pStyle w:val="20"/>
        <w:ind w:firstLine="567"/>
        <w:jc w:val="both"/>
        <w:rPr>
          <w:sz w:val="25"/>
          <w:szCs w:val="25"/>
        </w:rPr>
      </w:pPr>
    </w:p>
    <w:p w14:paraId="00154335">
      <w:pPr>
        <w:pStyle w:val="20"/>
        <w:ind w:firstLine="567"/>
        <w:jc w:val="both"/>
        <w:rPr>
          <w:sz w:val="25"/>
          <w:szCs w:val="25"/>
        </w:rPr>
      </w:pPr>
      <w:r>
        <w:rPr>
          <w:sz w:val="25"/>
          <w:szCs w:val="25"/>
        </w:rPr>
        <w:t>Администрация при заключении подлежащих оплате договоров (контрактов)                       на поставку товаров (работ, услуг) вправе предусматривать авансовые платежи                           в соответствии с нормами, установленными постановлением Правительства Москвы от 30 декабря 2008 г. № 1229 ПП «Об авансовых платежах, совершаемых за счет бюджета города Москвы» с учетом внесенных изменений и дополнений.</w:t>
      </w:r>
    </w:p>
    <w:p w14:paraId="264A2DC5">
      <w:pPr>
        <w:pStyle w:val="20"/>
        <w:ind w:firstLine="567"/>
        <w:jc w:val="both"/>
        <w:rPr>
          <w:sz w:val="25"/>
          <w:szCs w:val="25"/>
        </w:rPr>
      </w:pPr>
      <w:r>
        <w:rPr>
          <w:sz w:val="25"/>
          <w:szCs w:val="25"/>
        </w:rPr>
        <w:t>Порядок и срок перечисления аванса юридическим лицам должен быть зафиксирован в договорах (контрактах) с контрагентами или в счетах на оплату.</w:t>
      </w:r>
    </w:p>
    <w:p w14:paraId="6F98C59A">
      <w:pPr>
        <w:pStyle w:val="20"/>
        <w:ind w:firstLine="567"/>
        <w:jc w:val="both"/>
        <w:rPr>
          <w:sz w:val="25"/>
          <w:szCs w:val="25"/>
        </w:rPr>
      </w:pPr>
      <w:r>
        <w:rPr>
          <w:sz w:val="25"/>
          <w:szCs w:val="25"/>
        </w:rPr>
        <w:t>Возврат дебиторской задолженности, возникшей в текущем финансовом году, используется по той же классификации операций сектора государственного управления.</w:t>
      </w:r>
    </w:p>
    <w:p w14:paraId="7F56C664">
      <w:pPr>
        <w:pStyle w:val="20"/>
        <w:ind w:firstLine="567"/>
        <w:jc w:val="both"/>
        <w:rPr>
          <w:sz w:val="25"/>
          <w:szCs w:val="25"/>
        </w:rPr>
      </w:pPr>
      <w:r>
        <w:rPr>
          <w:sz w:val="25"/>
          <w:szCs w:val="25"/>
        </w:rPr>
        <w:t>Возврат дебиторской задолженности прошлых лет перечисляется в доход бюджета муниципального округа Останкинский</w:t>
      </w:r>
    </w:p>
    <w:p w14:paraId="064D32E4">
      <w:pPr>
        <w:pStyle w:val="20"/>
        <w:ind w:firstLine="567"/>
        <w:jc w:val="both"/>
        <w:rPr>
          <w:sz w:val="25"/>
          <w:szCs w:val="25"/>
        </w:rPr>
      </w:pPr>
      <w:r>
        <w:rPr>
          <w:sz w:val="25"/>
          <w:szCs w:val="25"/>
        </w:rPr>
        <w:t xml:space="preserve">На основании статьи 196 ГК РФ общий срок исковой давности, в течение которого аппарат может востребовать дебиторскую задолженность, составляет три года. </w:t>
      </w:r>
    </w:p>
    <w:p w14:paraId="06C5999C">
      <w:pPr>
        <w:pStyle w:val="20"/>
        <w:ind w:firstLine="567"/>
        <w:jc w:val="both"/>
        <w:rPr>
          <w:sz w:val="25"/>
          <w:szCs w:val="25"/>
        </w:rPr>
      </w:pPr>
      <w:r>
        <w:rPr>
          <w:sz w:val="25"/>
          <w:szCs w:val="25"/>
        </w:rPr>
        <w:t>Списание нереальной к взысканию дебиторской задолженности осуществляется в соответствии с распоряжением администрации.</w:t>
      </w:r>
    </w:p>
    <w:p w14:paraId="4917B3D1">
      <w:pPr>
        <w:pStyle w:val="20"/>
        <w:ind w:firstLine="567"/>
        <w:jc w:val="both"/>
        <w:rPr>
          <w:sz w:val="25"/>
          <w:szCs w:val="25"/>
        </w:rPr>
      </w:pPr>
    </w:p>
    <w:p w14:paraId="5D146BAB">
      <w:pPr>
        <w:pStyle w:val="20"/>
        <w:ind w:firstLine="567"/>
        <w:jc w:val="center"/>
        <w:rPr>
          <w:b/>
          <w:sz w:val="25"/>
          <w:szCs w:val="25"/>
        </w:rPr>
      </w:pPr>
      <w:r>
        <w:rPr>
          <w:b/>
          <w:sz w:val="25"/>
          <w:szCs w:val="25"/>
        </w:rPr>
        <w:t>9.4.  Расчеты с поставщиками и подрядчиками</w:t>
      </w:r>
    </w:p>
    <w:p w14:paraId="0BA82A61">
      <w:pPr>
        <w:pStyle w:val="20"/>
        <w:ind w:firstLine="567"/>
        <w:jc w:val="both"/>
        <w:rPr>
          <w:sz w:val="16"/>
          <w:szCs w:val="16"/>
        </w:rPr>
      </w:pPr>
    </w:p>
    <w:p w14:paraId="40BFEE4B">
      <w:pPr>
        <w:pStyle w:val="20"/>
        <w:ind w:firstLine="567"/>
        <w:jc w:val="both"/>
        <w:rPr>
          <w:sz w:val="25"/>
          <w:szCs w:val="25"/>
        </w:rPr>
      </w:pPr>
      <w:r>
        <w:rPr>
          <w:sz w:val="25"/>
          <w:szCs w:val="25"/>
        </w:rPr>
        <w:t>Администрация принимает денежные обязательства по осуществлению расходов и платежей путем составления платежных и иных документов, необходимых для совершения расходов и платежей, в пределах, доведенных до них лимитов бюджетных обязательств и сметы доходов и расходов.</w:t>
      </w:r>
    </w:p>
    <w:p w14:paraId="2C412E73">
      <w:pPr>
        <w:pStyle w:val="20"/>
        <w:ind w:firstLine="567"/>
        <w:jc w:val="both"/>
        <w:rPr>
          <w:sz w:val="25"/>
          <w:szCs w:val="25"/>
        </w:rPr>
      </w:pPr>
      <w:r>
        <w:rPr>
          <w:sz w:val="25"/>
          <w:szCs w:val="25"/>
        </w:rPr>
        <w:t>Приобретение материальных ценностей, работ и услуг осуществляется                    на основании договоров (контрактов) с поставщиками.</w:t>
      </w:r>
    </w:p>
    <w:p w14:paraId="4D23219A">
      <w:pPr>
        <w:pStyle w:val="20"/>
        <w:ind w:firstLine="567"/>
        <w:jc w:val="both"/>
        <w:rPr>
          <w:sz w:val="25"/>
          <w:szCs w:val="25"/>
        </w:rPr>
      </w:pPr>
      <w:r>
        <w:rPr>
          <w:sz w:val="25"/>
          <w:szCs w:val="25"/>
        </w:rPr>
        <w:t>При поставке материальных ценностей, выполнении работ и оказании услуг поставщики (подрядчики) предъявляют следующие сопроводительные документы: счет, накладные, акты выполненных работ, оказанных услуг, счета-фактуры, другие документы (спецификации, сертификаты, удостоверения качества и др.).</w:t>
      </w:r>
    </w:p>
    <w:p w14:paraId="08F9AC21">
      <w:pPr>
        <w:pStyle w:val="20"/>
        <w:ind w:firstLine="567"/>
        <w:jc w:val="both"/>
        <w:rPr>
          <w:sz w:val="25"/>
          <w:szCs w:val="25"/>
        </w:rPr>
      </w:pPr>
      <w:r>
        <w:rPr>
          <w:sz w:val="25"/>
          <w:szCs w:val="25"/>
        </w:rPr>
        <w:t>Счет является документом, выдаваемым поставщиком покупателю                              с предложением осуществить платеж за определенные материальные ценности (работы, услуги), перечисленные в счете.</w:t>
      </w:r>
    </w:p>
    <w:p w14:paraId="30CF45A7">
      <w:pPr>
        <w:pStyle w:val="20"/>
        <w:ind w:firstLine="567"/>
        <w:jc w:val="both"/>
        <w:rPr>
          <w:sz w:val="25"/>
          <w:szCs w:val="25"/>
        </w:rPr>
      </w:pPr>
      <w:r>
        <w:rPr>
          <w:sz w:val="25"/>
          <w:szCs w:val="25"/>
        </w:rPr>
        <w:t>Накладные являются первичными учетными документами, применяемыми для оформления поступления или отпуска материальных ценностей.</w:t>
      </w:r>
    </w:p>
    <w:p w14:paraId="617992F7">
      <w:pPr>
        <w:pStyle w:val="20"/>
        <w:ind w:firstLine="567"/>
        <w:jc w:val="both"/>
        <w:rPr>
          <w:sz w:val="25"/>
          <w:szCs w:val="25"/>
        </w:rPr>
      </w:pPr>
      <w:r>
        <w:rPr>
          <w:sz w:val="25"/>
          <w:szCs w:val="25"/>
        </w:rPr>
        <w:t>Сопроводительные документы поставщика наряду с платежными документами служат основанием для отражения операций расчетов с поставщиками                       и подрядчиками в бюджетном учете.</w:t>
      </w:r>
    </w:p>
    <w:p w14:paraId="0A4215C3">
      <w:pPr>
        <w:pStyle w:val="20"/>
        <w:ind w:firstLine="567"/>
        <w:jc w:val="both"/>
        <w:rPr>
          <w:sz w:val="25"/>
          <w:szCs w:val="25"/>
        </w:rPr>
      </w:pPr>
      <w:r>
        <w:rPr>
          <w:sz w:val="25"/>
          <w:szCs w:val="25"/>
        </w:rPr>
        <w:t>Аналитический учет по выданным авансам и расчетам с поставщиками                      и подрядчиками за поставленные материальные ценности и оказанные услуги ведется в Журнале операций расчетов с поставщиками и подрядчиками. Журнал формируется по поставщикам и подрядчикам, составляется на основании платежных документов, товарно-транспортных накладных на получение материальных ценностей, актов приемки-сдачи выполненных работ и оказанных услуг, счетов, счетов-фактур.</w:t>
      </w:r>
    </w:p>
    <w:p w14:paraId="5C0894FB">
      <w:pPr>
        <w:pStyle w:val="20"/>
        <w:ind w:firstLine="567"/>
        <w:jc w:val="both"/>
        <w:rPr>
          <w:sz w:val="25"/>
          <w:szCs w:val="25"/>
        </w:rPr>
      </w:pPr>
      <w:r>
        <w:rPr>
          <w:sz w:val="25"/>
          <w:szCs w:val="25"/>
        </w:rPr>
        <w:t>В Главную книгу переносятся обороты, за исключением операций по оплате, которые отражаются в соответствующих журналах операций.</w:t>
      </w:r>
    </w:p>
    <w:p w14:paraId="6C6BEC50">
      <w:pPr>
        <w:pStyle w:val="20"/>
        <w:ind w:firstLine="567"/>
        <w:jc w:val="both"/>
        <w:rPr>
          <w:sz w:val="25"/>
          <w:szCs w:val="25"/>
        </w:rPr>
      </w:pPr>
      <w:r>
        <w:rPr>
          <w:sz w:val="25"/>
          <w:szCs w:val="25"/>
        </w:rPr>
        <w:t>Резерв для фактически осуществленных на отчетную дату затрат, по которым не поступили документы контрагентов не создается.</w:t>
      </w:r>
    </w:p>
    <w:p w14:paraId="35F2B74C">
      <w:pPr>
        <w:pStyle w:val="20"/>
        <w:ind w:firstLine="567"/>
        <w:jc w:val="both"/>
        <w:rPr>
          <w:sz w:val="25"/>
          <w:szCs w:val="25"/>
        </w:rPr>
      </w:pPr>
      <w:r>
        <w:rPr>
          <w:sz w:val="25"/>
          <w:szCs w:val="25"/>
        </w:rPr>
        <w:t>Инвентаризация расчетов с поставщиками и подрядчиками производится перед сдачей годовой отчетности.</w:t>
      </w:r>
    </w:p>
    <w:p w14:paraId="272DA369">
      <w:pPr>
        <w:pStyle w:val="20"/>
        <w:ind w:firstLine="567"/>
        <w:jc w:val="both"/>
        <w:rPr>
          <w:sz w:val="25"/>
          <w:szCs w:val="25"/>
        </w:rPr>
      </w:pPr>
    </w:p>
    <w:p w14:paraId="2F185438">
      <w:pPr>
        <w:pStyle w:val="20"/>
        <w:ind w:firstLine="567"/>
        <w:jc w:val="center"/>
        <w:rPr>
          <w:b/>
          <w:sz w:val="25"/>
          <w:szCs w:val="25"/>
        </w:rPr>
      </w:pPr>
      <w:r>
        <w:rPr>
          <w:b/>
          <w:sz w:val="25"/>
          <w:szCs w:val="25"/>
        </w:rPr>
        <w:t>9.5.  Расчеты с подотчетными лицами</w:t>
      </w:r>
    </w:p>
    <w:p w14:paraId="6AE5ACCC">
      <w:pPr>
        <w:pStyle w:val="20"/>
        <w:ind w:firstLine="567"/>
        <w:jc w:val="both"/>
        <w:rPr>
          <w:sz w:val="25"/>
          <w:szCs w:val="25"/>
        </w:rPr>
      </w:pPr>
    </w:p>
    <w:p w14:paraId="1963886A">
      <w:pPr>
        <w:pStyle w:val="20"/>
        <w:ind w:firstLine="567"/>
        <w:jc w:val="both"/>
        <w:rPr>
          <w:sz w:val="25"/>
          <w:szCs w:val="25"/>
        </w:rPr>
      </w:pPr>
      <w:r>
        <w:rPr>
          <w:sz w:val="25"/>
          <w:szCs w:val="25"/>
        </w:rPr>
        <w:t>Денежные средства выдаются подотчет на основании распоряжения или служебной записки, согласованной с главой администрации. Выдача денежных средств или компенсация сотруднику за самостоятельно произведенные расходы в интересах учреждения производится путем перечисления на зарплатную карту материально ответственного лица или сотрудника администрации.</w:t>
      </w:r>
    </w:p>
    <w:p w14:paraId="6FD9BD29">
      <w:pPr>
        <w:pStyle w:val="20"/>
        <w:ind w:firstLine="567"/>
        <w:jc w:val="both"/>
        <w:rPr>
          <w:sz w:val="25"/>
          <w:szCs w:val="25"/>
        </w:rPr>
      </w:pPr>
      <w:r>
        <w:rPr>
          <w:sz w:val="25"/>
          <w:szCs w:val="25"/>
        </w:rPr>
        <w:t>Способ выдачи денежных средств указывается в Заявлении о выдаче денег подотчет.</w:t>
      </w:r>
    </w:p>
    <w:p w14:paraId="09D36C0E">
      <w:pPr>
        <w:pStyle w:val="20"/>
        <w:ind w:firstLine="567"/>
        <w:jc w:val="both"/>
        <w:rPr>
          <w:sz w:val="25"/>
          <w:szCs w:val="25"/>
        </w:rPr>
      </w:pPr>
      <w:r>
        <w:rPr>
          <w:sz w:val="25"/>
          <w:szCs w:val="25"/>
        </w:rPr>
        <w:t>Администрация выдает денежные средства подотчет штатным сотрудникам. Расчеты по выданным суммам проходят в порядке, установленном для штатных сотрудников. Не допускается передача выданных под отчет денежных средств (денежных документов) одним лицом другому.</w:t>
      </w:r>
    </w:p>
    <w:p w14:paraId="659653C8">
      <w:pPr>
        <w:pStyle w:val="20"/>
        <w:ind w:firstLine="567"/>
        <w:jc w:val="both"/>
        <w:rPr>
          <w:sz w:val="25"/>
          <w:szCs w:val="25"/>
        </w:rPr>
      </w:pPr>
      <w:r>
        <w:rPr>
          <w:sz w:val="25"/>
          <w:szCs w:val="25"/>
        </w:rPr>
        <w:t xml:space="preserve">Денежные средства выдаются подотчет на хозяйственные нужды на срок, который сотрудник указал в заявлении на выдачу денежных средств под отчет,                            но не более 30 рабочих дней. По истечении этого срока сотрудник должен отчитаться в течение 3 рабочих дней. </w:t>
      </w:r>
    </w:p>
    <w:p w14:paraId="3612A2E5">
      <w:pPr>
        <w:pStyle w:val="20"/>
        <w:ind w:firstLine="567"/>
        <w:jc w:val="both"/>
        <w:rPr>
          <w:sz w:val="25"/>
          <w:szCs w:val="25"/>
        </w:rPr>
      </w:pPr>
      <w:r>
        <w:rPr>
          <w:sz w:val="25"/>
          <w:szCs w:val="25"/>
        </w:rPr>
        <w:t>Независимо от срока, на который выдан аванс, подотчетному лицу надлежит представить авансовый отчет и сдать неиспользованный остаток аванса. В случае заболевания подотчетного лица представление авансового отчета и сдача неиспользованного остатка аванса осуществляется этим лицом в порядке, согласованном с руководителем организации.</w:t>
      </w:r>
    </w:p>
    <w:p w14:paraId="65E0042B">
      <w:pPr>
        <w:pStyle w:val="20"/>
        <w:ind w:firstLine="567"/>
        <w:jc w:val="both"/>
        <w:rPr>
          <w:sz w:val="25"/>
          <w:szCs w:val="25"/>
        </w:rPr>
      </w:pPr>
      <w:r>
        <w:rPr>
          <w:sz w:val="25"/>
          <w:szCs w:val="25"/>
        </w:rPr>
        <w:t>Утверждение Авансовых отчетов (ф. 0504505) в части сумм перерасходов, произведенных подотчетным лицом, допустимо только в пределах свободных лимитов бюджетных обязательств (прав на принятие обязательств) на год, в котором планируется погашение кредиторской задолженности перед подотчетным лицом.</w:t>
      </w:r>
    </w:p>
    <w:p w14:paraId="3827EBFB">
      <w:pPr>
        <w:pStyle w:val="20"/>
        <w:ind w:firstLine="567"/>
        <w:jc w:val="both"/>
        <w:rPr>
          <w:sz w:val="25"/>
          <w:szCs w:val="25"/>
        </w:rPr>
      </w:pPr>
      <w:r>
        <w:rPr>
          <w:sz w:val="25"/>
          <w:szCs w:val="25"/>
        </w:rPr>
        <w:t>На счете 0 208 00 000 "Расчеты с подотчетными лицами" подлежат учету расчеты по выданным авансам, а также расчеты по выплате подотчетным лицам перерасходов (в том числе и в тех случаях, когда денежные средства подотчет                         не выдавались).</w:t>
      </w:r>
    </w:p>
    <w:p w14:paraId="31052A02">
      <w:pPr>
        <w:pStyle w:val="20"/>
        <w:ind w:firstLine="567"/>
        <w:jc w:val="both"/>
        <w:rPr>
          <w:sz w:val="25"/>
          <w:szCs w:val="25"/>
        </w:rPr>
      </w:pPr>
      <w:r>
        <w:rPr>
          <w:sz w:val="25"/>
          <w:szCs w:val="25"/>
        </w:rPr>
        <w:t>По своевременно не возвращенным и не удержанным из заработной платы (денежного содержания) суммам задолженности подотчетных лиц (в том числе уволенных сотрудников) в установленном порядке ведется претензионная работа,                    а задолженность подлежит учету на счете 0 209 30 000. При увольнении сотрудников кредиторская задолженность, учтенная на счете 0 208 00 000, переносится на счет                      0 302 00 000.</w:t>
      </w:r>
    </w:p>
    <w:p w14:paraId="11301032">
      <w:pPr>
        <w:pStyle w:val="20"/>
        <w:ind w:firstLine="567"/>
        <w:jc w:val="both"/>
        <w:rPr>
          <w:sz w:val="25"/>
          <w:szCs w:val="25"/>
        </w:rPr>
      </w:pPr>
      <w:r>
        <w:rPr>
          <w:sz w:val="25"/>
          <w:szCs w:val="25"/>
        </w:rPr>
        <w:t>Доверенности выдаются штатным сотрудникам.</w:t>
      </w:r>
    </w:p>
    <w:p w14:paraId="629CA69D">
      <w:pPr>
        <w:pStyle w:val="20"/>
        <w:ind w:firstLine="567"/>
        <w:jc w:val="both"/>
        <w:rPr>
          <w:sz w:val="25"/>
          <w:szCs w:val="25"/>
        </w:rPr>
      </w:pPr>
      <w:r>
        <w:rPr>
          <w:sz w:val="25"/>
          <w:szCs w:val="25"/>
        </w:rPr>
        <w:t>Инвентаризация расчетов с подотчетными лицами производится один раз в год по состоянию на 1 января перед составлением годовой бухгалтерской отчетностью.</w:t>
      </w:r>
    </w:p>
    <w:p w14:paraId="02A34078">
      <w:pPr>
        <w:pStyle w:val="20"/>
        <w:ind w:firstLine="567"/>
        <w:jc w:val="both"/>
        <w:rPr>
          <w:sz w:val="25"/>
          <w:szCs w:val="25"/>
        </w:rPr>
      </w:pPr>
    </w:p>
    <w:p w14:paraId="470C08BD">
      <w:pPr>
        <w:pStyle w:val="20"/>
        <w:ind w:firstLine="567"/>
        <w:jc w:val="both"/>
        <w:rPr>
          <w:sz w:val="25"/>
          <w:szCs w:val="25"/>
        </w:rPr>
      </w:pPr>
    </w:p>
    <w:p w14:paraId="74A0642D">
      <w:pPr>
        <w:pStyle w:val="20"/>
        <w:ind w:firstLine="567"/>
        <w:jc w:val="center"/>
        <w:rPr>
          <w:b/>
          <w:sz w:val="25"/>
          <w:szCs w:val="25"/>
        </w:rPr>
      </w:pPr>
      <w:r>
        <w:rPr>
          <w:b/>
          <w:sz w:val="25"/>
          <w:szCs w:val="25"/>
        </w:rPr>
        <w:t>10. Учет средств, поступивших во временное распоряжение учреждения</w:t>
      </w:r>
    </w:p>
    <w:p w14:paraId="308F49CC">
      <w:pPr>
        <w:pStyle w:val="20"/>
        <w:ind w:firstLine="567"/>
        <w:jc w:val="both"/>
        <w:rPr>
          <w:sz w:val="25"/>
          <w:szCs w:val="25"/>
        </w:rPr>
      </w:pPr>
    </w:p>
    <w:p w14:paraId="67F6066A">
      <w:pPr>
        <w:pStyle w:val="20"/>
        <w:ind w:firstLine="567"/>
        <w:jc w:val="both"/>
        <w:rPr>
          <w:sz w:val="25"/>
          <w:szCs w:val="25"/>
        </w:rPr>
      </w:pPr>
      <w:r>
        <w:rPr>
          <w:sz w:val="25"/>
          <w:szCs w:val="25"/>
        </w:rPr>
        <w:t>10.1. На счете средств, поступивших во временное распоряжение, учитываются средства, поступившие в качестве обеспечения заявок для участия в конкурсах                         и аукционах, обеспечения исполнения государственных контрактов и иные суммы.</w:t>
      </w:r>
    </w:p>
    <w:p w14:paraId="30735276">
      <w:pPr>
        <w:pStyle w:val="20"/>
        <w:ind w:firstLine="567"/>
        <w:jc w:val="both"/>
        <w:rPr>
          <w:sz w:val="25"/>
          <w:szCs w:val="25"/>
        </w:rPr>
      </w:pPr>
      <w:r>
        <w:rPr>
          <w:sz w:val="25"/>
          <w:szCs w:val="25"/>
        </w:rPr>
        <w:t xml:space="preserve">10.2. В случае неисполнения поставщиком (подрядчиком, исполнителем) обязательств, связанных с возвратом аванса, удержание аванса производится                           из средств обеспечения исполнения контракта или средств уплаченных кредитной организацией по банковской гарантии.  </w:t>
      </w:r>
    </w:p>
    <w:p w14:paraId="3207604C">
      <w:pPr>
        <w:pStyle w:val="20"/>
        <w:ind w:firstLine="567"/>
        <w:jc w:val="both"/>
        <w:rPr>
          <w:sz w:val="25"/>
          <w:szCs w:val="25"/>
        </w:rPr>
      </w:pPr>
      <w:r>
        <w:rPr>
          <w:sz w:val="25"/>
          <w:szCs w:val="25"/>
        </w:rPr>
        <w:t>10.3. Суммы удержанного обеспечения в размере предоставленного аванса (а также процентов за пользование чужими денежными средствами, если контрактом предусматривалось обеспечение обязательства) подлежат перечислению в доход бюджета и отражаются по коду классификации доходов бюджета 900 1 13 02993 03 0000 130 «Прочие доходы от компенсации затрат  бюджетов внутригородских муниципальных образований городов федерального значения» (письмо МФ РФ  № 02-02-04 (67438 от 25.12.2014) со счета средств, поступивших во временное распоряжение.</w:t>
      </w:r>
    </w:p>
    <w:p w14:paraId="6CE522E3">
      <w:pPr>
        <w:pStyle w:val="20"/>
        <w:ind w:firstLine="567"/>
        <w:rPr>
          <w:sz w:val="25"/>
          <w:szCs w:val="25"/>
        </w:rPr>
      </w:pPr>
      <w:r>
        <w:rPr>
          <w:sz w:val="25"/>
          <w:szCs w:val="25"/>
        </w:rPr>
        <w:t>10.4. Аналитический учет ведется в многографной карточке (ф.0504054) по каждому получателю в разрезе видов поступлений и направлений средств.</w:t>
      </w:r>
    </w:p>
    <w:p w14:paraId="6BEF4E44">
      <w:pPr>
        <w:pStyle w:val="20"/>
        <w:ind w:firstLine="567"/>
        <w:jc w:val="center"/>
        <w:rPr>
          <w:sz w:val="25"/>
          <w:szCs w:val="25"/>
        </w:rPr>
      </w:pPr>
    </w:p>
    <w:p w14:paraId="27127B47">
      <w:pPr>
        <w:pStyle w:val="44"/>
        <w:shd w:val="clear" w:color="auto" w:fill="FFFFFF"/>
        <w:spacing w:before="0" w:beforeAutospacing="0" w:after="0" w:afterAutospacing="0" w:line="360" w:lineRule="auto"/>
        <w:ind w:firstLine="567"/>
        <w:jc w:val="center"/>
        <w:textAlignment w:val="baseline"/>
        <w:rPr>
          <w:b/>
          <w:sz w:val="25"/>
          <w:szCs w:val="25"/>
        </w:rPr>
      </w:pPr>
      <w:r>
        <w:rPr>
          <w:b/>
          <w:sz w:val="25"/>
          <w:szCs w:val="25"/>
        </w:rPr>
        <w:t>11. Резервы предстоящих расходов и платежей.</w:t>
      </w:r>
    </w:p>
    <w:p w14:paraId="146FA0BB">
      <w:pPr>
        <w:shd w:val="clear" w:color="auto" w:fill="FFFFFF"/>
        <w:ind w:firstLine="567"/>
        <w:jc w:val="both"/>
        <w:rPr>
          <w:rFonts w:eastAsia="Calibri"/>
          <w:sz w:val="25"/>
          <w:szCs w:val="25"/>
          <w:lang w:eastAsia="en-US"/>
        </w:rPr>
      </w:pPr>
      <w:r>
        <w:rPr>
          <w:rFonts w:eastAsia="Calibri"/>
          <w:sz w:val="25"/>
          <w:szCs w:val="25"/>
          <w:lang w:eastAsia="en-US"/>
        </w:rPr>
        <w:t>Для отражения операций резервирования предстоящих расходов администрация руководствуется СГС «Резервы. Раскрытие информации об условных обязательствах и условных активах» (приказ Минфина от 30.05.2018 № 124н).</w:t>
      </w:r>
    </w:p>
    <w:p w14:paraId="36F059AE">
      <w:pPr>
        <w:pStyle w:val="20"/>
        <w:ind w:firstLine="567"/>
        <w:jc w:val="both"/>
        <w:rPr>
          <w:sz w:val="25"/>
          <w:szCs w:val="25"/>
        </w:rPr>
      </w:pPr>
      <w:r>
        <w:rPr>
          <w:sz w:val="25"/>
          <w:szCs w:val="25"/>
        </w:rPr>
        <w:t>Для формирования резервов предстоящих расходов, отраженных в бюджетном учете и годовой бюджетной (финансовой) отчетности администрации, установлен Порядок формирования резерва предстоящих расходов:</w:t>
      </w:r>
    </w:p>
    <w:p w14:paraId="56F8A7D5">
      <w:pPr>
        <w:pStyle w:val="20"/>
        <w:ind w:firstLine="567"/>
        <w:jc w:val="both"/>
        <w:rPr>
          <w:sz w:val="25"/>
          <w:szCs w:val="25"/>
        </w:rPr>
      </w:pPr>
      <w:r>
        <w:rPr>
          <w:sz w:val="25"/>
          <w:szCs w:val="25"/>
        </w:rPr>
        <w:t>11.1. Настоящий Порядок устанавливает в соответствии с положениями Инструкции № 157н правила отражения в бюджетном учете администрации информации                   о состоянии и движении сумм резервов предстоящих расходов, зарезервированных                   в целях равномерного включения расходов на финансовый результат                                       по обязательствам, не определенным по величине и (или) времени исполнения.</w:t>
      </w:r>
    </w:p>
    <w:p w14:paraId="66A8EEC3">
      <w:pPr>
        <w:pStyle w:val="20"/>
        <w:ind w:firstLine="567"/>
        <w:jc w:val="both"/>
        <w:rPr>
          <w:sz w:val="25"/>
          <w:szCs w:val="25"/>
        </w:rPr>
      </w:pPr>
      <w:r>
        <w:rPr>
          <w:sz w:val="25"/>
          <w:szCs w:val="25"/>
        </w:rPr>
        <w:t>11.2. Резерв администрация формирует по следующим обязательствам:</w:t>
      </w:r>
    </w:p>
    <w:p w14:paraId="2C840077">
      <w:pPr>
        <w:pStyle w:val="20"/>
        <w:ind w:firstLine="567"/>
        <w:jc w:val="both"/>
        <w:rPr>
          <w:sz w:val="25"/>
          <w:szCs w:val="25"/>
        </w:rPr>
      </w:pPr>
      <w:r>
        <w:rPr>
          <w:sz w:val="25"/>
          <w:szCs w:val="25"/>
        </w:rPr>
        <w:t>-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w:t>
      </w:r>
    </w:p>
    <w:p w14:paraId="4B418B37">
      <w:pPr>
        <w:pStyle w:val="20"/>
        <w:ind w:firstLine="567"/>
        <w:jc w:val="both"/>
        <w:rPr>
          <w:sz w:val="25"/>
          <w:szCs w:val="25"/>
        </w:rPr>
      </w:pPr>
      <w:r>
        <w:rPr>
          <w:sz w:val="25"/>
          <w:szCs w:val="25"/>
        </w:rPr>
        <w:t>-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администрации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14:paraId="220657D4">
      <w:pPr>
        <w:pStyle w:val="20"/>
        <w:ind w:firstLine="567"/>
        <w:jc w:val="both"/>
        <w:rPr>
          <w:sz w:val="25"/>
          <w:szCs w:val="25"/>
        </w:rPr>
      </w:pPr>
      <w:r>
        <w:rPr>
          <w:sz w:val="25"/>
          <w:szCs w:val="25"/>
        </w:rPr>
        <w:t xml:space="preserve">- по обязательствам администрации,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по сомнительным долгам, в виду отсутствия первичных учетных документов по фактическим данным. </w:t>
      </w:r>
    </w:p>
    <w:p w14:paraId="7EBB4F8D">
      <w:pPr>
        <w:pStyle w:val="20"/>
        <w:ind w:firstLine="567"/>
        <w:jc w:val="both"/>
        <w:rPr>
          <w:sz w:val="25"/>
          <w:szCs w:val="25"/>
        </w:rPr>
      </w:pPr>
      <w:r>
        <w:rPr>
          <w:sz w:val="25"/>
          <w:szCs w:val="25"/>
        </w:rPr>
        <w:t>11.3. Оценка обязательства и формирование резервов:</w:t>
      </w:r>
    </w:p>
    <w:p w14:paraId="5E9676C0">
      <w:pPr>
        <w:pStyle w:val="20"/>
        <w:ind w:firstLine="567"/>
        <w:jc w:val="both"/>
        <w:rPr>
          <w:sz w:val="25"/>
          <w:szCs w:val="25"/>
        </w:rPr>
      </w:pPr>
      <w:r>
        <w:rPr>
          <w:sz w:val="25"/>
          <w:szCs w:val="25"/>
        </w:rPr>
        <w:t>- Оценочное обязательство в виде резерва на оплату отпусков за фактически отработанное время определяется исходя из данных количества дней неиспользованного отпуска по каждому сотруднику на указанную дату, предоставленных кадровой службой. Сумма страховых взносов может быть рассчитана с учетом предельной величины базы для начисления страховых взносов на обязательное социальное страхование на случай временной нетрудоспособности и в связи с материнством, уплачиваемых в Фонд социального страхования Российской Федерации на основании информации за предшествующий период, а также применяемого к нему повышающего коэффициента.</w:t>
      </w:r>
    </w:p>
    <w:p w14:paraId="5938D854">
      <w:pPr>
        <w:pStyle w:val="20"/>
        <w:ind w:firstLine="567"/>
        <w:jc w:val="both"/>
        <w:rPr>
          <w:sz w:val="25"/>
          <w:szCs w:val="25"/>
        </w:rPr>
      </w:pPr>
      <w:r>
        <w:rPr>
          <w:sz w:val="25"/>
          <w:szCs w:val="25"/>
        </w:rPr>
        <w:t>Резерв при этом рассчитывается как сумма оплаты отпусков работникам                             за фактически отработанное время, на дату расчета,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14:paraId="4D435D5F">
      <w:pPr>
        <w:pStyle w:val="20"/>
        <w:ind w:firstLine="567"/>
        <w:jc w:val="both"/>
        <w:rPr>
          <w:sz w:val="25"/>
          <w:szCs w:val="25"/>
        </w:rPr>
      </w:pPr>
      <w:r>
        <w:rPr>
          <w:sz w:val="25"/>
          <w:szCs w:val="25"/>
        </w:rPr>
        <w:t xml:space="preserve">Для расчета резерва осуществляется оценка обязательств в связи                                 с предстоящей оплатой, которая определяется ежемесячно. </w:t>
      </w:r>
    </w:p>
    <w:p w14:paraId="53BABC99">
      <w:pPr>
        <w:pStyle w:val="20"/>
        <w:ind w:firstLine="567"/>
        <w:jc w:val="both"/>
        <w:rPr>
          <w:sz w:val="25"/>
          <w:szCs w:val="25"/>
        </w:rPr>
      </w:pPr>
      <w:r>
        <w:rPr>
          <w:sz w:val="25"/>
          <w:szCs w:val="25"/>
        </w:rPr>
        <w:t>Сумма расходов на оплату предстоящих отпусков определяется следующим образом:</w:t>
      </w:r>
    </w:p>
    <w:p w14:paraId="4C9C737E">
      <w:pPr>
        <w:pStyle w:val="20"/>
        <w:ind w:firstLine="567"/>
        <w:jc w:val="both"/>
        <w:rPr>
          <w:sz w:val="25"/>
          <w:szCs w:val="25"/>
        </w:rPr>
      </w:pPr>
      <w:r>
        <w:rPr>
          <w:sz w:val="25"/>
          <w:szCs w:val="25"/>
        </w:rPr>
        <w:t xml:space="preserve">     Расчет производится персонифицировано по каждому сотруднику:</w:t>
      </w:r>
    </w:p>
    <w:p w14:paraId="46CC2FB1">
      <w:pPr>
        <w:pStyle w:val="20"/>
        <w:ind w:firstLine="567"/>
        <w:jc w:val="both"/>
        <w:rPr>
          <w:sz w:val="25"/>
          <w:szCs w:val="25"/>
        </w:rPr>
      </w:pPr>
      <w:r>
        <w:rPr>
          <w:sz w:val="25"/>
          <w:szCs w:val="25"/>
        </w:rPr>
        <w:t xml:space="preserve">     Резерв отпусков = К * ЗП, где</w:t>
      </w:r>
    </w:p>
    <w:p w14:paraId="71400EA8">
      <w:pPr>
        <w:pStyle w:val="20"/>
        <w:ind w:firstLine="567"/>
        <w:jc w:val="both"/>
        <w:rPr>
          <w:sz w:val="25"/>
          <w:szCs w:val="25"/>
        </w:rPr>
      </w:pPr>
      <w:r>
        <w:rPr>
          <w:sz w:val="25"/>
          <w:szCs w:val="25"/>
        </w:rPr>
        <w:t xml:space="preserve">     К - количество не использованных сотрудником дней отпуска за период с начала работы на дату расчета;</w:t>
      </w:r>
    </w:p>
    <w:p w14:paraId="10F34F11">
      <w:pPr>
        <w:pStyle w:val="20"/>
        <w:ind w:firstLine="567"/>
        <w:jc w:val="both"/>
        <w:rPr>
          <w:sz w:val="25"/>
          <w:szCs w:val="25"/>
        </w:rPr>
      </w:pPr>
      <w:r>
        <w:rPr>
          <w:sz w:val="25"/>
          <w:szCs w:val="25"/>
        </w:rPr>
        <w:t xml:space="preserve">     ЗП - среднедневной заработок сотрудника, исчисленный по правилам расчета среднего заработка для оплаты отпусков на дату расчета резерва.</w:t>
      </w:r>
    </w:p>
    <w:p w14:paraId="5F43293F">
      <w:pPr>
        <w:pStyle w:val="20"/>
        <w:ind w:firstLine="567"/>
        <w:jc w:val="both"/>
        <w:rPr>
          <w:sz w:val="25"/>
          <w:szCs w:val="25"/>
        </w:rPr>
      </w:pPr>
      <w:r>
        <w:rPr>
          <w:sz w:val="25"/>
          <w:szCs w:val="25"/>
        </w:rPr>
        <w:t>Резерв на оплату страховых взносов рассчитывается с учетом методики расчета резерва на оплату отпусков и рассчитывается по каждому работнику индивидуально:</w:t>
      </w:r>
    </w:p>
    <w:p w14:paraId="7CF7CFF2">
      <w:pPr>
        <w:pStyle w:val="20"/>
        <w:ind w:firstLine="567"/>
        <w:jc w:val="both"/>
        <w:rPr>
          <w:sz w:val="25"/>
          <w:szCs w:val="25"/>
        </w:rPr>
      </w:pPr>
      <w:r>
        <w:rPr>
          <w:sz w:val="25"/>
          <w:szCs w:val="25"/>
        </w:rPr>
        <w:t xml:space="preserve">     Резерв стр. взн. = К * ЗП * С;</w:t>
      </w:r>
    </w:p>
    <w:p w14:paraId="51558487">
      <w:pPr>
        <w:pStyle w:val="20"/>
        <w:ind w:firstLine="567"/>
        <w:jc w:val="both"/>
        <w:rPr>
          <w:sz w:val="25"/>
          <w:szCs w:val="25"/>
        </w:rPr>
      </w:pPr>
      <w:r>
        <w:rPr>
          <w:sz w:val="25"/>
          <w:szCs w:val="25"/>
        </w:rPr>
        <w:t xml:space="preserve">     где С - ставка страховых взносов.</w:t>
      </w:r>
    </w:p>
    <w:p w14:paraId="51AC3B95">
      <w:pPr>
        <w:pStyle w:val="20"/>
        <w:ind w:firstLine="567"/>
        <w:jc w:val="both"/>
        <w:rPr>
          <w:sz w:val="25"/>
          <w:szCs w:val="25"/>
        </w:rPr>
      </w:pPr>
      <w:r>
        <w:rPr>
          <w:sz w:val="25"/>
          <w:szCs w:val="25"/>
        </w:rPr>
        <w:t>- Оценочное обязательство в виде резерва по претензионным требованиям создается при наличии судебных исков в общей сумме требований и исков.</w:t>
      </w:r>
    </w:p>
    <w:p w14:paraId="27CFA23B">
      <w:pPr>
        <w:pStyle w:val="20"/>
        <w:ind w:firstLine="567"/>
        <w:jc w:val="both"/>
        <w:rPr>
          <w:sz w:val="25"/>
          <w:szCs w:val="25"/>
        </w:rPr>
      </w:pPr>
      <w:r>
        <w:rPr>
          <w:sz w:val="25"/>
          <w:szCs w:val="25"/>
        </w:rPr>
        <w:t>- Оценочное обязательство в виде резерва на оплату обязательств, по которым не поступили расчетные документы, формируется ежегодно на последний день года. Начисляется резерв на оплату обязательств в сумме фактически оказанных услуг. Кредиторская задолженность на счете начисляется после получения документов в следующем после отчетного году без отражения в бухгалтерской отчетности в периоде формирования резерва.</w:t>
      </w:r>
    </w:p>
    <w:p w14:paraId="4C14EA43">
      <w:pPr>
        <w:pStyle w:val="20"/>
        <w:ind w:firstLine="567"/>
        <w:jc w:val="both"/>
        <w:rPr>
          <w:sz w:val="25"/>
          <w:szCs w:val="25"/>
        </w:rPr>
      </w:pPr>
      <w:r>
        <w:rPr>
          <w:sz w:val="25"/>
          <w:szCs w:val="25"/>
        </w:rPr>
        <w:t>Резерв по сомнительным долгам создается в конце года последним днем. Основание для создания резерва - решение комиссии по поступлению и выбытию активов, оформленное по результатам инвентаризации задолженности на основании документов, подтверждающих сомнительность долга. Величина резерва равна величине выявленной сомнительной задолженности.</w:t>
      </w:r>
    </w:p>
    <w:p w14:paraId="2D7B4346">
      <w:pPr>
        <w:pStyle w:val="44"/>
        <w:shd w:val="clear" w:color="auto" w:fill="FFFFFF"/>
        <w:spacing w:before="0" w:beforeAutospacing="0" w:after="0" w:afterAutospacing="0"/>
        <w:ind w:firstLine="567"/>
        <w:jc w:val="both"/>
        <w:textAlignment w:val="baseline"/>
        <w:rPr>
          <w:b/>
          <w:sz w:val="25"/>
          <w:szCs w:val="25"/>
        </w:rPr>
      </w:pPr>
      <w:r>
        <w:rPr>
          <w:sz w:val="25"/>
          <w:szCs w:val="25"/>
        </w:rPr>
        <w:t>Стоимостная оценка резервов подлежит ежегодному пересмотру и при необходимости) корректировке до текущей обоснованной оценки на годовую отчетную дату (Основание: п. 26 ФСБУ № 124н).</w:t>
      </w:r>
      <w:r>
        <w:rPr>
          <w:b/>
          <w:sz w:val="25"/>
          <w:szCs w:val="25"/>
        </w:rPr>
        <w:t xml:space="preserve">                       </w:t>
      </w:r>
    </w:p>
    <w:p w14:paraId="4B34C43A">
      <w:pPr>
        <w:shd w:val="clear" w:color="auto" w:fill="FFFFFF"/>
        <w:spacing w:after="150"/>
        <w:ind w:firstLine="567"/>
        <w:jc w:val="both"/>
        <w:rPr>
          <w:rFonts w:eastAsia="Calibri"/>
          <w:sz w:val="25"/>
          <w:szCs w:val="25"/>
          <w:lang w:eastAsia="en-US"/>
        </w:rPr>
      </w:pPr>
      <w:r>
        <w:rPr>
          <w:rFonts w:eastAsia="Calibri"/>
          <w:sz w:val="25"/>
          <w:szCs w:val="25"/>
          <w:lang w:eastAsia="en-US"/>
        </w:rPr>
        <w:t>Резерв по оплате обязательств, по которым не поступили расчетные документы. Величина резерва для обязательств, имеющих документально обоснованную оценку (например, фиксированные ежемесячные платежи за техническое обслуживание), устанавливается в размере данных обязательств. При нефиксированных суммах обязательств (например, обязательства по коммунальным услугам), величина резерва определяется расчетным путем бухгалтером учреждения, ответственным за факт отражения данной хозяйственной операции в учете в зависимости от объема полученных услуг и тарифа на услуги подрядчика. Оценка резерва на оплату обязательств, по которым не поступили расчетные документы, проводится ежегодно.</w:t>
      </w:r>
    </w:p>
    <w:p w14:paraId="1B7FC15C">
      <w:pPr>
        <w:shd w:val="clear" w:color="auto" w:fill="FFFFFF"/>
        <w:spacing w:after="150"/>
        <w:ind w:firstLine="567"/>
        <w:jc w:val="both"/>
        <w:rPr>
          <w:rFonts w:eastAsia="Calibri"/>
          <w:sz w:val="25"/>
          <w:szCs w:val="25"/>
          <w:lang w:eastAsia="en-US"/>
        </w:rPr>
      </w:pPr>
      <w:r>
        <w:rPr>
          <w:rFonts w:eastAsia="Calibri"/>
          <w:sz w:val="25"/>
          <w:szCs w:val="25"/>
          <w:lang w:eastAsia="en-US"/>
        </w:rPr>
        <w:t xml:space="preserve">     Основание: пункт 302.1 Инструкции № 157н.</w:t>
      </w:r>
    </w:p>
    <w:p w14:paraId="3D5729F2">
      <w:pPr>
        <w:shd w:val="clear" w:color="auto" w:fill="FFFFFF"/>
        <w:ind w:firstLine="567"/>
        <w:jc w:val="both"/>
        <w:rPr>
          <w:rFonts w:eastAsia="Calibri"/>
          <w:sz w:val="25"/>
          <w:szCs w:val="25"/>
          <w:lang w:eastAsia="en-US"/>
        </w:rPr>
      </w:pPr>
      <w:r>
        <w:rPr>
          <w:rFonts w:eastAsia="Calibri"/>
          <w:sz w:val="25"/>
          <w:szCs w:val="25"/>
          <w:lang w:eastAsia="en-US"/>
        </w:rPr>
        <w:t>11.4. Использование и учет сумм резервов</w:t>
      </w:r>
    </w:p>
    <w:p w14:paraId="2C74B8BC">
      <w:pPr>
        <w:shd w:val="clear" w:color="auto" w:fill="FFFFFF"/>
        <w:ind w:firstLine="567"/>
        <w:jc w:val="both"/>
        <w:rPr>
          <w:rFonts w:eastAsia="Calibri"/>
          <w:sz w:val="25"/>
          <w:szCs w:val="25"/>
          <w:lang w:eastAsia="en-US"/>
        </w:rPr>
      </w:pPr>
      <w:r>
        <w:rPr>
          <w:rFonts w:eastAsia="Calibri"/>
          <w:sz w:val="25"/>
          <w:szCs w:val="25"/>
          <w:lang w:eastAsia="en-US"/>
        </w:rPr>
        <w:t>Резерв используется только на покрытие тех расходов, в отношении которых он был создан.</w:t>
      </w:r>
    </w:p>
    <w:p w14:paraId="0DE3D763">
      <w:pPr>
        <w:shd w:val="clear" w:color="auto" w:fill="FFFFFF"/>
        <w:ind w:firstLine="567"/>
        <w:jc w:val="both"/>
        <w:rPr>
          <w:rFonts w:eastAsia="Calibri"/>
          <w:sz w:val="25"/>
          <w:szCs w:val="25"/>
          <w:lang w:eastAsia="en-US"/>
        </w:rPr>
      </w:pPr>
      <w:r>
        <w:rPr>
          <w:rFonts w:eastAsia="Calibri"/>
          <w:sz w:val="25"/>
          <w:szCs w:val="25"/>
          <w:lang w:eastAsia="en-US"/>
        </w:rPr>
        <w:t>Признание в учете расходов, в отношении которых сформирован резерв, осуществляется за счет суммы созданного резерва.</w:t>
      </w:r>
    </w:p>
    <w:p w14:paraId="329F9743">
      <w:pPr>
        <w:shd w:val="clear" w:color="auto" w:fill="FFFFFF"/>
        <w:ind w:firstLine="567"/>
        <w:jc w:val="both"/>
        <w:rPr>
          <w:rFonts w:eastAsia="Calibri"/>
          <w:sz w:val="25"/>
          <w:szCs w:val="25"/>
          <w:lang w:eastAsia="en-US"/>
        </w:rPr>
      </w:pPr>
      <w:r>
        <w:rPr>
          <w:rFonts w:eastAsia="Calibri"/>
          <w:sz w:val="25"/>
          <w:szCs w:val="25"/>
          <w:lang w:eastAsia="en-US"/>
        </w:rPr>
        <w:t>При недостаточности сумм резерва осуществляется его изменение (уточнение).</w:t>
      </w:r>
    </w:p>
    <w:p w14:paraId="16CAB022">
      <w:pPr>
        <w:shd w:val="clear" w:color="auto" w:fill="FFFFFF"/>
        <w:ind w:firstLine="567"/>
        <w:jc w:val="both"/>
        <w:rPr>
          <w:rFonts w:eastAsia="Calibri"/>
          <w:sz w:val="25"/>
          <w:szCs w:val="25"/>
          <w:lang w:eastAsia="en-US"/>
        </w:rPr>
      </w:pPr>
      <w:r>
        <w:rPr>
          <w:rFonts w:eastAsia="Calibri"/>
          <w:sz w:val="25"/>
          <w:szCs w:val="25"/>
          <w:lang w:eastAsia="en-US"/>
        </w:rPr>
        <w:t>Списание оценочных обязательств производится при принятии обязательств, на которые был ранее образован резерв при начислении ежегодного отпуска, компенсации за неиспользованный отпуск, а также взносов на обязательное социальное страхование.</w:t>
      </w:r>
    </w:p>
    <w:p w14:paraId="6A0CF39D">
      <w:pPr>
        <w:shd w:val="clear" w:color="auto" w:fill="FFFFFF"/>
        <w:ind w:firstLine="567"/>
        <w:jc w:val="both"/>
        <w:rPr>
          <w:rFonts w:eastAsia="Calibri"/>
          <w:sz w:val="25"/>
          <w:szCs w:val="25"/>
          <w:lang w:eastAsia="en-US"/>
        </w:rPr>
      </w:pPr>
      <w:r>
        <w:rPr>
          <w:rFonts w:eastAsia="Calibri"/>
          <w:sz w:val="25"/>
          <w:szCs w:val="25"/>
          <w:lang w:eastAsia="en-US"/>
        </w:rPr>
        <w:t>Списание резервов осуществляется:</w:t>
      </w:r>
    </w:p>
    <w:p w14:paraId="2485C7A4">
      <w:pPr>
        <w:shd w:val="clear" w:color="auto" w:fill="FFFFFF"/>
        <w:ind w:firstLine="567"/>
        <w:jc w:val="both"/>
        <w:rPr>
          <w:rFonts w:eastAsia="Calibri"/>
          <w:sz w:val="25"/>
          <w:szCs w:val="25"/>
          <w:lang w:eastAsia="en-US"/>
        </w:rPr>
      </w:pPr>
      <w:r>
        <w:rPr>
          <w:rFonts w:eastAsia="Calibri"/>
          <w:sz w:val="25"/>
          <w:szCs w:val="25"/>
          <w:lang w:eastAsia="en-US"/>
        </w:rPr>
        <w:t>1) при признании затрат и (или) признании кредиторской задолженности по выполнению обязательства, по которому резерв был создан (разд. 6 Методических рекомендаций):</w:t>
      </w:r>
    </w:p>
    <w:p w14:paraId="722D81AF">
      <w:pPr>
        <w:shd w:val="clear" w:color="auto" w:fill="FFFFFF"/>
        <w:ind w:firstLine="567"/>
        <w:jc w:val="both"/>
        <w:rPr>
          <w:rFonts w:eastAsia="Calibri"/>
          <w:sz w:val="25"/>
          <w:szCs w:val="25"/>
          <w:lang w:eastAsia="en-US"/>
        </w:rPr>
      </w:pPr>
      <w:r>
        <w:rPr>
          <w:rFonts w:eastAsia="Calibri"/>
          <w:sz w:val="25"/>
          <w:szCs w:val="25"/>
          <w:lang w:eastAsia="en-US"/>
        </w:rPr>
        <w:t>Дебет счета 0 401 60 000 "Резервы предстоящих расходов"</w:t>
      </w:r>
    </w:p>
    <w:p w14:paraId="4834A13D">
      <w:pPr>
        <w:shd w:val="clear" w:color="auto" w:fill="FFFFFF"/>
        <w:ind w:firstLine="567"/>
        <w:jc w:val="both"/>
        <w:rPr>
          <w:rFonts w:eastAsia="Calibri"/>
          <w:sz w:val="25"/>
          <w:szCs w:val="25"/>
          <w:lang w:eastAsia="en-US"/>
        </w:rPr>
      </w:pPr>
      <w:r>
        <w:rPr>
          <w:rFonts w:eastAsia="Calibri"/>
          <w:sz w:val="25"/>
          <w:szCs w:val="25"/>
          <w:lang w:eastAsia="en-US"/>
        </w:rPr>
        <w:t>Кредит соответствующих счетов счета 0 302 ХХ 73Х "Увеличение кредиторской задолженности по принятым обязательствам";</w:t>
      </w:r>
    </w:p>
    <w:p w14:paraId="76345F57">
      <w:pPr>
        <w:shd w:val="clear" w:color="auto" w:fill="FFFFFF"/>
        <w:ind w:firstLine="567"/>
        <w:jc w:val="both"/>
        <w:rPr>
          <w:rFonts w:eastAsia="Calibri"/>
          <w:sz w:val="25"/>
          <w:szCs w:val="25"/>
          <w:lang w:eastAsia="en-US"/>
        </w:rPr>
      </w:pPr>
      <w:r>
        <w:rPr>
          <w:rFonts w:eastAsia="Calibri"/>
          <w:sz w:val="25"/>
          <w:szCs w:val="25"/>
          <w:lang w:eastAsia="en-US"/>
        </w:rPr>
        <w:t>2) в случае избыточности суммы признанного резерва или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w:t>
      </w:r>
    </w:p>
    <w:p w14:paraId="0872D49D">
      <w:pPr>
        <w:shd w:val="clear" w:color="auto" w:fill="FFFFFF"/>
        <w:ind w:firstLine="567"/>
        <w:jc w:val="both"/>
        <w:rPr>
          <w:rFonts w:eastAsia="Calibri"/>
          <w:sz w:val="25"/>
          <w:szCs w:val="25"/>
          <w:lang w:eastAsia="en-US"/>
        </w:rPr>
      </w:pPr>
      <w:r>
        <w:rPr>
          <w:rFonts w:eastAsia="Calibri"/>
          <w:sz w:val="25"/>
          <w:szCs w:val="25"/>
          <w:lang w:eastAsia="en-US"/>
        </w:rPr>
        <w:t>Дебет счета 0 401 60 000 "Резервы предстоящих расходов"</w:t>
      </w:r>
    </w:p>
    <w:p w14:paraId="7976FD5B">
      <w:pPr>
        <w:shd w:val="clear" w:color="auto" w:fill="FFFFFF"/>
        <w:ind w:firstLine="567"/>
        <w:jc w:val="both"/>
        <w:rPr>
          <w:rFonts w:eastAsia="Calibri"/>
          <w:sz w:val="25"/>
          <w:szCs w:val="25"/>
          <w:lang w:eastAsia="en-US"/>
        </w:rPr>
      </w:pPr>
      <w:r>
        <w:rPr>
          <w:rFonts w:eastAsia="Calibri"/>
          <w:sz w:val="25"/>
          <w:szCs w:val="25"/>
          <w:lang w:eastAsia="en-US"/>
        </w:rPr>
        <w:t>Кредит счета 0 401 20 000 "Расходы текущего финансового года"</w:t>
      </w:r>
    </w:p>
    <w:p w14:paraId="0CB427AF">
      <w:pPr>
        <w:shd w:val="clear" w:color="auto" w:fill="FFFFFF"/>
        <w:ind w:firstLine="567"/>
        <w:jc w:val="both"/>
        <w:rPr>
          <w:rFonts w:eastAsia="Calibri"/>
          <w:sz w:val="25"/>
          <w:szCs w:val="25"/>
          <w:lang w:eastAsia="en-US"/>
        </w:rPr>
      </w:pPr>
      <w:r>
        <w:rPr>
          <w:rFonts w:eastAsia="Calibri"/>
          <w:sz w:val="25"/>
          <w:szCs w:val="25"/>
          <w:lang w:eastAsia="en-US"/>
        </w:rPr>
        <w:t>(Основание: п. 28, 29 ФСБУ № 124н)}</w:t>
      </w:r>
    </w:p>
    <w:p w14:paraId="7F01D546">
      <w:pPr>
        <w:shd w:val="clear" w:color="auto" w:fill="FFFFFF"/>
        <w:ind w:firstLine="567"/>
        <w:jc w:val="both"/>
        <w:rPr>
          <w:rFonts w:eastAsia="Calibri"/>
          <w:sz w:val="25"/>
          <w:szCs w:val="25"/>
          <w:lang w:eastAsia="en-US"/>
        </w:rPr>
      </w:pPr>
      <w:r>
        <w:rPr>
          <w:rFonts w:eastAsia="Calibri"/>
          <w:sz w:val="25"/>
          <w:szCs w:val="25"/>
          <w:lang w:eastAsia="en-US"/>
        </w:rPr>
        <w:t>3)  в случае недостаточности суммы признанного резерва разница между этой суммой и затратами по исполнению обязательства признается расходами текущего периода (Основание: п. 30 ФСБУ № 124н).</w:t>
      </w:r>
    </w:p>
    <w:p w14:paraId="291FD782">
      <w:pPr>
        <w:shd w:val="clear" w:color="auto" w:fill="FFFFFF"/>
        <w:ind w:firstLine="567"/>
        <w:jc w:val="both"/>
        <w:rPr>
          <w:rFonts w:eastAsia="Calibri"/>
          <w:sz w:val="25"/>
          <w:szCs w:val="25"/>
          <w:lang w:eastAsia="en-US"/>
        </w:rPr>
      </w:pPr>
      <w:r>
        <w:rPr>
          <w:rFonts w:eastAsia="Calibri"/>
          <w:sz w:val="25"/>
          <w:szCs w:val="25"/>
          <w:lang w:eastAsia="en-US"/>
        </w:rPr>
        <w:t>11.5. Раскрытие информации о резервах.</w:t>
      </w:r>
    </w:p>
    <w:p w14:paraId="79AACDAA">
      <w:pPr>
        <w:shd w:val="clear" w:color="auto" w:fill="FFFFFF"/>
        <w:ind w:firstLine="567"/>
        <w:jc w:val="both"/>
        <w:rPr>
          <w:rFonts w:eastAsia="Calibri"/>
          <w:sz w:val="25"/>
          <w:szCs w:val="25"/>
          <w:lang w:eastAsia="en-US"/>
        </w:rPr>
      </w:pPr>
      <w:r>
        <w:rPr>
          <w:rFonts w:eastAsia="Calibri"/>
          <w:sz w:val="25"/>
          <w:szCs w:val="25"/>
          <w:lang w:eastAsia="en-US"/>
        </w:rPr>
        <w:t>Информация о резервах подлежит раскрытию в годовой бюджетной отчетности в составе Пояснительной записки, состав которой определен п.32-33 ФСБУ № 124н. При этом информация раскрывается по каждому виду резерва.</w:t>
      </w:r>
    </w:p>
    <w:p w14:paraId="1435E16C">
      <w:pPr>
        <w:shd w:val="clear" w:color="auto" w:fill="FFFFFF"/>
        <w:ind w:firstLine="567"/>
        <w:jc w:val="both"/>
        <w:rPr>
          <w:rFonts w:eastAsia="Calibri"/>
          <w:sz w:val="25"/>
          <w:szCs w:val="25"/>
          <w:lang w:eastAsia="en-US"/>
        </w:rPr>
      </w:pPr>
    </w:p>
    <w:p w14:paraId="22FF85CF">
      <w:pPr>
        <w:shd w:val="clear" w:color="auto" w:fill="FFFFFF"/>
        <w:ind w:firstLine="567"/>
        <w:jc w:val="both"/>
        <w:rPr>
          <w:rFonts w:eastAsia="Calibri"/>
          <w:sz w:val="25"/>
          <w:szCs w:val="25"/>
          <w:lang w:eastAsia="en-US"/>
        </w:rPr>
      </w:pPr>
      <w:r>
        <w:rPr>
          <w:rFonts w:eastAsia="Calibri"/>
          <w:sz w:val="25"/>
          <w:szCs w:val="25"/>
          <w:lang w:eastAsia="en-US"/>
        </w:rPr>
        <w:t>Перечень бухгалтерских записей по отражению в учете операций по формированию и использованию резервов приведен в приложении 2 к письму Минфина России от 20 мая 2015 № 02-07-07/28998.</w:t>
      </w:r>
    </w:p>
    <w:p w14:paraId="6C148C0E">
      <w:pPr>
        <w:shd w:val="clear" w:color="auto" w:fill="FFFFFF"/>
        <w:ind w:firstLine="567"/>
        <w:jc w:val="both"/>
        <w:rPr>
          <w:rFonts w:eastAsia="Calibri"/>
          <w:sz w:val="25"/>
          <w:szCs w:val="25"/>
          <w:lang w:eastAsia="en-US"/>
        </w:rPr>
      </w:pPr>
    </w:p>
    <w:tbl>
      <w:tblPr>
        <w:tblStyle w:val="4"/>
        <w:tblW w:w="0" w:type="auto"/>
        <w:jc w:val="center"/>
        <w:tblCellSpacing w:w="0" w:type="dxa"/>
        <w:tblLayout w:type="autofit"/>
        <w:tblCellMar>
          <w:top w:w="0" w:type="dxa"/>
          <w:left w:w="0" w:type="dxa"/>
          <w:bottom w:w="0" w:type="dxa"/>
          <w:right w:w="0" w:type="dxa"/>
        </w:tblCellMar>
      </w:tblPr>
      <w:tblGrid>
        <w:gridCol w:w="613"/>
        <w:gridCol w:w="5861"/>
        <w:gridCol w:w="1559"/>
        <w:gridCol w:w="1794"/>
      </w:tblGrid>
      <w:tr w14:paraId="71CA9C80">
        <w:tblPrEx>
          <w:tblCellMar>
            <w:top w:w="0" w:type="dxa"/>
            <w:left w:w="0" w:type="dxa"/>
            <w:bottom w:w="0" w:type="dxa"/>
            <w:right w:w="0" w:type="dxa"/>
          </w:tblCellMar>
        </w:tblPrEx>
        <w:trPr>
          <w:wBefore w:w="0" w:type="dxa"/>
          <w:wAfter w:w="0" w:type="dxa"/>
          <w:tblCellSpacing w:w="0" w:type="dxa"/>
          <w:jc w:val="center"/>
        </w:trPr>
        <w:tc>
          <w:tcPr>
            <w:tcW w:w="613" w:type="dxa"/>
            <w:vMerge w:val="restar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8506150">
            <w:pPr>
              <w:spacing w:after="150" w:line="360" w:lineRule="auto"/>
              <w:ind w:firstLine="567"/>
              <w:jc w:val="both"/>
              <w:rPr>
                <w:rFonts w:eastAsia="Calibri"/>
                <w:sz w:val="22"/>
                <w:szCs w:val="22"/>
                <w:lang w:eastAsia="en-US"/>
              </w:rPr>
            </w:pPr>
            <w:r>
              <w:rPr>
                <w:rFonts w:eastAsia="Calibri"/>
                <w:b/>
                <w:bCs/>
                <w:sz w:val="22"/>
                <w:szCs w:val="22"/>
                <w:lang w:eastAsia="en-US"/>
              </w:rPr>
              <w:t>№ пп</w:t>
            </w:r>
          </w:p>
        </w:tc>
        <w:tc>
          <w:tcPr>
            <w:tcW w:w="5861" w:type="dxa"/>
            <w:vMerge w:val="restart"/>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5DD97C0">
            <w:pPr>
              <w:spacing w:after="150" w:line="360" w:lineRule="auto"/>
              <w:ind w:firstLine="567"/>
              <w:jc w:val="center"/>
              <w:rPr>
                <w:rFonts w:eastAsia="Calibri"/>
                <w:sz w:val="22"/>
                <w:szCs w:val="22"/>
                <w:lang w:eastAsia="en-US"/>
              </w:rPr>
            </w:pPr>
            <w:r>
              <w:rPr>
                <w:rFonts w:eastAsia="Calibri"/>
                <w:b/>
                <w:bCs/>
                <w:sz w:val="22"/>
                <w:szCs w:val="22"/>
                <w:lang w:eastAsia="en-US"/>
              </w:rPr>
              <w:t>Содержание операции</w:t>
            </w:r>
          </w:p>
        </w:tc>
        <w:tc>
          <w:tcPr>
            <w:tcW w:w="3353" w:type="dxa"/>
            <w:gridSpan w:val="2"/>
            <w:tcBorders>
              <w:top w:val="single" w:color="auto" w:sz="8" w:space="0"/>
              <w:left w:val="nil"/>
              <w:bottom w:val="single" w:color="auto" w:sz="8" w:space="0"/>
              <w:right w:val="single" w:color="auto" w:sz="8" w:space="0"/>
            </w:tcBorders>
            <w:noWrap w:val="0"/>
            <w:tcMar>
              <w:top w:w="120" w:type="dxa"/>
              <w:left w:w="120" w:type="dxa"/>
              <w:bottom w:w="120" w:type="dxa"/>
              <w:right w:w="120" w:type="dxa"/>
            </w:tcMar>
            <w:vAlign w:val="center"/>
          </w:tcPr>
          <w:p w14:paraId="381E2FD9">
            <w:pPr>
              <w:spacing w:after="150" w:line="360" w:lineRule="auto"/>
              <w:ind w:firstLine="567"/>
              <w:jc w:val="center"/>
              <w:rPr>
                <w:rFonts w:eastAsia="Calibri"/>
                <w:sz w:val="22"/>
                <w:szCs w:val="22"/>
                <w:lang w:eastAsia="en-US"/>
              </w:rPr>
            </w:pPr>
            <w:r>
              <w:rPr>
                <w:rFonts w:eastAsia="Calibri"/>
                <w:b/>
                <w:bCs/>
                <w:sz w:val="22"/>
                <w:szCs w:val="22"/>
                <w:lang w:eastAsia="en-US"/>
              </w:rPr>
              <w:t>Номер счета</w:t>
            </w:r>
          </w:p>
        </w:tc>
      </w:tr>
      <w:tr w14:paraId="00E1D2AF">
        <w:tblPrEx>
          <w:tblCellMar>
            <w:top w:w="0" w:type="dxa"/>
            <w:left w:w="0" w:type="dxa"/>
            <w:bottom w:w="0" w:type="dxa"/>
            <w:right w:w="0" w:type="dxa"/>
          </w:tblCellMar>
        </w:tblPrEx>
        <w:trPr>
          <w:wBefore w:w="0" w:type="dxa"/>
          <w:wAfter w:w="0" w:type="dxa"/>
          <w:tblCellSpacing w:w="0" w:type="dxa"/>
          <w:jc w:val="center"/>
        </w:trPr>
        <w:tc>
          <w:tcPr>
            <w:tcW w:w="613" w:type="dxa"/>
            <w:vMerge w:val="continue"/>
            <w:tcBorders>
              <w:top w:val="single" w:color="auto" w:sz="4" w:space="0"/>
              <w:left w:val="single" w:color="auto" w:sz="4" w:space="0"/>
              <w:bottom w:val="single" w:color="auto" w:sz="4" w:space="0"/>
              <w:right w:val="single" w:color="auto" w:sz="4" w:space="0"/>
            </w:tcBorders>
            <w:noWrap w:val="0"/>
            <w:vAlign w:val="center"/>
          </w:tcPr>
          <w:p w14:paraId="67AA7CA5">
            <w:pPr>
              <w:spacing w:line="360" w:lineRule="auto"/>
              <w:ind w:firstLine="567"/>
              <w:jc w:val="both"/>
              <w:rPr>
                <w:rFonts w:eastAsia="Calibri"/>
                <w:sz w:val="22"/>
                <w:szCs w:val="22"/>
                <w:lang w:eastAsia="en-US"/>
              </w:rPr>
            </w:pPr>
          </w:p>
        </w:tc>
        <w:tc>
          <w:tcPr>
            <w:tcW w:w="5861" w:type="dxa"/>
            <w:vMerge w:val="continue"/>
            <w:tcBorders>
              <w:top w:val="single" w:color="auto" w:sz="4" w:space="0"/>
              <w:left w:val="single" w:color="auto" w:sz="4" w:space="0"/>
              <w:bottom w:val="single" w:color="auto" w:sz="4" w:space="0"/>
              <w:right w:val="single" w:color="auto" w:sz="4" w:space="0"/>
            </w:tcBorders>
            <w:noWrap w:val="0"/>
            <w:vAlign w:val="center"/>
          </w:tcPr>
          <w:p w14:paraId="736C3E87">
            <w:pPr>
              <w:spacing w:line="360" w:lineRule="auto"/>
              <w:ind w:firstLine="567"/>
              <w:jc w:val="both"/>
              <w:rPr>
                <w:rFonts w:eastAsia="Calibri"/>
                <w:sz w:val="22"/>
                <w:szCs w:val="22"/>
                <w:lang w:eastAsia="en-US"/>
              </w:rPr>
            </w:pPr>
          </w:p>
        </w:tc>
        <w:tc>
          <w:tcPr>
            <w:tcW w:w="1559"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53DAB1AD">
            <w:pPr>
              <w:spacing w:after="150" w:line="360" w:lineRule="auto"/>
              <w:ind w:firstLine="567"/>
              <w:jc w:val="both"/>
              <w:rPr>
                <w:rFonts w:eastAsia="Calibri"/>
                <w:sz w:val="22"/>
                <w:szCs w:val="22"/>
                <w:lang w:eastAsia="en-US"/>
              </w:rPr>
            </w:pPr>
            <w:r>
              <w:rPr>
                <w:rFonts w:eastAsia="Calibri"/>
                <w:b/>
                <w:bCs/>
                <w:sz w:val="22"/>
                <w:szCs w:val="22"/>
                <w:lang w:eastAsia="en-US"/>
              </w:rPr>
              <w:t>дебет</w:t>
            </w:r>
          </w:p>
        </w:tc>
        <w:tc>
          <w:tcPr>
            <w:tcW w:w="1794"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2EF9AE79">
            <w:pPr>
              <w:spacing w:after="150" w:line="360" w:lineRule="auto"/>
              <w:ind w:firstLine="567"/>
              <w:jc w:val="both"/>
              <w:rPr>
                <w:rFonts w:eastAsia="Calibri"/>
                <w:sz w:val="22"/>
                <w:szCs w:val="22"/>
                <w:lang w:eastAsia="en-US"/>
              </w:rPr>
            </w:pPr>
            <w:r>
              <w:rPr>
                <w:rFonts w:eastAsia="Calibri"/>
                <w:b/>
                <w:bCs/>
                <w:sz w:val="22"/>
                <w:szCs w:val="22"/>
                <w:lang w:eastAsia="en-US"/>
              </w:rPr>
              <w:t>кредит</w:t>
            </w:r>
          </w:p>
        </w:tc>
      </w:tr>
      <w:tr w14:paraId="5B74FB7B">
        <w:tblPrEx>
          <w:tblCellMar>
            <w:top w:w="0" w:type="dxa"/>
            <w:left w:w="0" w:type="dxa"/>
            <w:bottom w:w="0" w:type="dxa"/>
            <w:right w:w="0" w:type="dxa"/>
          </w:tblCellMar>
        </w:tblPrEx>
        <w:trPr>
          <w:wBefore w:w="0" w:type="dxa"/>
          <w:wAfter w:w="0" w:type="dxa"/>
          <w:tblCellSpacing w:w="0" w:type="dxa"/>
          <w:jc w:val="center"/>
        </w:trPr>
        <w:tc>
          <w:tcPr>
            <w:tcW w:w="613" w:type="dxa"/>
            <w:tcBorders>
              <w:top w:val="nil"/>
              <w:left w:val="single" w:color="auto" w:sz="8" w:space="0"/>
              <w:bottom w:val="single" w:color="auto" w:sz="8" w:space="0"/>
              <w:right w:val="single" w:color="auto" w:sz="8" w:space="0"/>
            </w:tcBorders>
            <w:noWrap w:val="0"/>
            <w:tcMar>
              <w:top w:w="120" w:type="dxa"/>
              <w:left w:w="120" w:type="dxa"/>
              <w:bottom w:w="120" w:type="dxa"/>
              <w:right w:w="120" w:type="dxa"/>
            </w:tcMar>
            <w:vAlign w:val="center"/>
          </w:tcPr>
          <w:p w14:paraId="1D21D1E3">
            <w:pPr>
              <w:spacing w:after="150" w:line="360" w:lineRule="auto"/>
              <w:ind w:firstLine="567"/>
              <w:jc w:val="both"/>
              <w:rPr>
                <w:rFonts w:eastAsia="Calibri"/>
                <w:sz w:val="22"/>
                <w:szCs w:val="22"/>
                <w:lang w:eastAsia="en-US"/>
              </w:rPr>
            </w:pPr>
            <w:r>
              <w:rPr>
                <w:rFonts w:eastAsia="Calibri"/>
                <w:sz w:val="22"/>
                <w:szCs w:val="22"/>
                <w:lang w:eastAsia="en-US"/>
              </w:rPr>
              <w:t>1</w:t>
            </w:r>
          </w:p>
        </w:tc>
        <w:tc>
          <w:tcPr>
            <w:tcW w:w="5861"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5AE01DEF">
            <w:pPr>
              <w:shd w:val="clear" w:color="auto" w:fill="FFFFFF"/>
              <w:ind w:firstLine="567"/>
              <w:jc w:val="both"/>
              <w:rPr>
                <w:rFonts w:eastAsia="Calibri"/>
                <w:sz w:val="22"/>
                <w:szCs w:val="22"/>
                <w:lang w:eastAsia="en-US"/>
              </w:rPr>
            </w:pPr>
            <w:r>
              <w:rPr>
                <w:rFonts w:eastAsia="Calibri"/>
                <w:sz w:val="22"/>
                <w:szCs w:val="22"/>
                <w:lang w:eastAsia="en-US"/>
              </w:rPr>
              <w:t>Формирование резерва на оплату отпусков за фактически отработанное время:</w:t>
            </w:r>
          </w:p>
          <w:p w14:paraId="1FCA5BFE">
            <w:pPr>
              <w:shd w:val="clear" w:color="auto" w:fill="FFFFFF"/>
              <w:ind w:firstLine="567"/>
              <w:jc w:val="both"/>
              <w:rPr>
                <w:rFonts w:eastAsia="Calibri"/>
                <w:sz w:val="22"/>
                <w:szCs w:val="22"/>
                <w:lang w:eastAsia="en-US"/>
              </w:rPr>
            </w:pPr>
            <w:r>
              <w:rPr>
                <w:rFonts w:eastAsia="Calibri"/>
                <w:sz w:val="22"/>
                <w:szCs w:val="22"/>
                <w:lang w:eastAsia="en-US"/>
              </w:rPr>
              <w:t>·         По выплатам работникам;</w:t>
            </w:r>
          </w:p>
          <w:p w14:paraId="443E7A1E">
            <w:pPr>
              <w:shd w:val="clear" w:color="auto" w:fill="FFFFFF"/>
              <w:ind w:firstLine="567"/>
              <w:jc w:val="both"/>
              <w:rPr>
                <w:rFonts w:eastAsia="Calibri"/>
                <w:sz w:val="22"/>
                <w:szCs w:val="22"/>
                <w:lang w:eastAsia="en-US"/>
              </w:rPr>
            </w:pPr>
            <w:r>
              <w:rPr>
                <w:rFonts w:eastAsia="Calibri"/>
                <w:sz w:val="22"/>
                <w:szCs w:val="22"/>
                <w:lang w:eastAsia="en-US"/>
              </w:rPr>
              <w:t>·         По страховым взносам.</w:t>
            </w:r>
          </w:p>
        </w:tc>
        <w:tc>
          <w:tcPr>
            <w:tcW w:w="1559"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7A2F3795">
            <w:pPr>
              <w:shd w:val="clear" w:color="auto" w:fill="FFFFFF"/>
              <w:ind w:firstLine="27"/>
              <w:jc w:val="both"/>
              <w:rPr>
                <w:rFonts w:eastAsia="Calibri"/>
                <w:sz w:val="22"/>
                <w:szCs w:val="22"/>
                <w:lang w:eastAsia="en-US"/>
              </w:rPr>
            </w:pPr>
          </w:p>
          <w:p w14:paraId="6799F29B">
            <w:pPr>
              <w:shd w:val="clear" w:color="auto" w:fill="FFFFFF"/>
              <w:ind w:firstLine="27"/>
              <w:jc w:val="both"/>
              <w:rPr>
                <w:rFonts w:eastAsia="Calibri"/>
                <w:sz w:val="22"/>
                <w:szCs w:val="22"/>
                <w:lang w:eastAsia="en-US"/>
              </w:rPr>
            </w:pPr>
            <w:r>
              <w:rPr>
                <w:rFonts w:eastAsia="Calibri"/>
                <w:sz w:val="22"/>
                <w:szCs w:val="22"/>
                <w:lang w:eastAsia="en-US"/>
              </w:rPr>
              <w:t>1.401.20 211</w:t>
            </w:r>
          </w:p>
          <w:p w14:paraId="3A2B55B1">
            <w:pPr>
              <w:shd w:val="clear" w:color="auto" w:fill="FFFFFF"/>
              <w:ind w:firstLine="27"/>
              <w:jc w:val="both"/>
              <w:rPr>
                <w:rFonts w:eastAsia="Calibri"/>
                <w:sz w:val="22"/>
                <w:szCs w:val="22"/>
                <w:lang w:eastAsia="en-US"/>
              </w:rPr>
            </w:pPr>
            <w:r>
              <w:rPr>
                <w:rFonts w:eastAsia="Calibri"/>
                <w:sz w:val="22"/>
                <w:szCs w:val="22"/>
                <w:lang w:eastAsia="en-US"/>
              </w:rPr>
              <w:t>1.401.20 213</w:t>
            </w:r>
          </w:p>
          <w:p w14:paraId="6CCA46DE">
            <w:pPr>
              <w:shd w:val="clear" w:color="auto" w:fill="FFFFFF"/>
              <w:ind w:firstLine="27"/>
              <w:jc w:val="both"/>
              <w:rPr>
                <w:rFonts w:eastAsia="Calibri"/>
                <w:sz w:val="22"/>
                <w:szCs w:val="22"/>
                <w:lang w:eastAsia="en-US"/>
              </w:rPr>
            </w:pPr>
          </w:p>
        </w:tc>
        <w:tc>
          <w:tcPr>
            <w:tcW w:w="1794"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26A27F77">
            <w:pPr>
              <w:shd w:val="clear" w:color="auto" w:fill="FFFFFF"/>
              <w:ind w:firstLine="27"/>
              <w:jc w:val="both"/>
              <w:rPr>
                <w:rFonts w:eastAsia="Calibri"/>
                <w:sz w:val="22"/>
                <w:szCs w:val="22"/>
                <w:lang w:eastAsia="en-US"/>
              </w:rPr>
            </w:pPr>
          </w:p>
          <w:p w14:paraId="17B228B0">
            <w:pPr>
              <w:shd w:val="clear" w:color="auto" w:fill="FFFFFF"/>
              <w:ind w:firstLine="27"/>
              <w:jc w:val="both"/>
              <w:rPr>
                <w:rFonts w:eastAsia="Calibri"/>
                <w:sz w:val="22"/>
                <w:szCs w:val="22"/>
                <w:lang w:eastAsia="en-US"/>
              </w:rPr>
            </w:pPr>
            <w:r>
              <w:rPr>
                <w:rFonts w:eastAsia="Calibri"/>
                <w:sz w:val="22"/>
                <w:szCs w:val="22"/>
                <w:lang w:eastAsia="en-US"/>
              </w:rPr>
              <w:t>1.401.61 211</w:t>
            </w:r>
          </w:p>
          <w:p w14:paraId="09DDE450">
            <w:pPr>
              <w:shd w:val="clear" w:color="auto" w:fill="FFFFFF"/>
              <w:ind w:firstLine="27"/>
              <w:jc w:val="both"/>
              <w:rPr>
                <w:rFonts w:eastAsia="Calibri"/>
                <w:sz w:val="22"/>
                <w:szCs w:val="22"/>
                <w:lang w:eastAsia="en-US"/>
              </w:rPr>
            </w:pPr>
            <w:r>
              <w:rPr>
                <w:rFonts w:eastAsia="Calibri"/>
                <w:sz w:val="22"/>
                <w:szCs w:val="22"/>
                <w:lang w:eastAsia="en-US"/>
              </w:rPr>
              <w:t>1.401.61 213</w:t>
            </w:r>
          </w:p>
        </w:tc>
      </w:tr>
      <w:tr w14:paraId="45ED51BE">
        <w:tblPrEx>
          <w:tblCellMar>
            <w:top w:w="0" w:type="dxa"/>
            <w:left w:w="0" w:type="dxa"/>
            <w:bottom w:w="0" w:type="dxa"/>
            <w:right w:w="0" w:type="dxa"/>
          </w:tblCellMar>
        </w:tblPrEx>
        <w:trPr>
          <w:wBefore w:w="0" w:type="dxa"/>
          <w:wAfter w:w="0" w:type="dxa"/>
          <w:tblCellSpacing w:w="0" w:type="dxa"/>
          <w:jc w:val="center"/>
        </w:trPr>
        <w:tc>
          <w:tcPr>
            <w:tcW w:w="613" w:type="dxa"/>
            <w:tcBorders>
              <w:top w:val="nil"/>
              <w:left w:val="single" w:color="auto" w:sz="8" w:space="0"/>
              <w:bottom w:val="single" w:color="auto" w:sz="8" w:space="0"/>
              <w:right w:val="single" w:color="auto" w:sz="8" w:space="0"/>
            </w:tcBorders>
            <w:noWrap w:val="0"/>
            <w:tcMar>
              <w:top w:w="120" w:type="dxa"/>
              <w:left w:w="120" w:type="dxa"/>
              <w:bottom w:w="120" w:type="dxa"/>
              <w:right w:w="120" w:type="dxa"/>
            </w:tcMar>
            <w:vAlign w:val="center"/>
          </w:tcPr>
          <w:p w14:paraId="5461F721">
            <w:pPr>
              <w:spacing w:after="150"/>
              <w:ind w:firstLine="567"/>
              <w:jc w:val="both"/>
              <w:rPr>
                <w:rFonts w:eastAsia="Calibri"/>
                <w:sz w:val="22"/>
                <w:szCs w:val="22"/>
                <w:lang w:eastAsia="en-US"/>
              </w:rPr>
            </w:pPr>
            <w:r>
              <w:rPr>
                <w:rFonts w:eastAsia="Calibri"/>
                <w:sz w:val="22"/>
                <w:szCs w:val="22"/>
                <w:lang w:eastAsia="en-US"/>
              </w:rPr>
              <w:t>2</w:t>
            </w:r>
          </w:p>
        </w:tc>
        <w:tc>
          <w:tcPr>
            <w:tcW w:w="5861"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0DEBA5BC">
            <w:pPr>
              <w:shd w:val="clear" w:color="auto" w:fill="FFFFFF"/>
              <w:ind w:firstLine="567"/>
              <w:jc w:val="both"/>
              <w:rPr>
                <w:rFonts w:eastAsia="Calibri"/>
                <w:sz w:val="22"/>
                <w:szCs w:val="22"/>
                <w:lang w:eastAsia="en-US"/>
              </w:rPr>
            </w:pPr>
            <w:r>
              <w:rPr>
                <w:rFonts w:eastAsia="Calibri"/>
                <w:sz w:val="22"/>
                <w:szCs w:val="22"/>
                <w:lang w:eastAsia="en-US"/>
              </w:rPr>
              <w:t>Отражение в учете расходных обязательств по формированию резервов на оплату отпусков:</w:t>
            </w:r>
          </w:p>
          <w:p w14:paraId="1D127F63">
            <w:pPr>
              <w:shd w:val="clear" w:color="auto" w:fill="FFFFFF"/>
              <w:ind w:firstLine="567"/>
              <w:jc w:val="both"/>
              <w:rPr>
                <w:rFonts w:eastAsia="Calibri"/>
                <w:sz w:val="22"/>
                <w:szCs w:val="22"/>
                <w:lang w:eastAsia="en-US"/>
              </w:rPr>
            </w:pPr>
            <w:r>
              <w:rPr>
                <w:rFonts w:eastAsia="Calibri"/>
                <w:sz w:val="22"/>
                <w:szCs w:val="22"/>
                <w:lang w:eastAsia="en-US"/>
              </w:rPr>
              <w:t>·         По выплатам работникам;</w:t>
            </w:r>
          </w:p>
          <w:p w14:paraId="4DAE5640">
            <w:pPr>
              <w:shd w:val="clear" w:color="auto" w:fill="FFFFFF"/>
              <w:ind w:firstLine="567"/>
              <w:jc w:val="both"/>
              <w:rPr>
                <w:rFonts w:eastAsia="Calibri"/>
                <w:sz w:val="22"/>
                <w:szCs w:val="22"/>
                <w:lang w:eastAsia="en-US"/>
              </w:rPr>
            </w:pPr>
            <w:r>
              <w:rPr>
                <w:rFonts w:eastAsia="Calibri"/>
                <w:sz w:val="22"/>
                <w:szCs w:val="22"/>
                <w:lang w:eastAsia="en-US"/>
              </w:rPr>
              <w:t>·         По страховым взносам;</w:t>
            </w:r>
          </w:p>
        </w:tc>
        <w:tc>
          <w:tcPr>
            <w:tcW w:w="1559"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23ECA521">
            <w:pPr>
              <w:shd w:val="clear" w:color="auto" w:fill="FFFFFF"/>
              <w:ind w:firstLine="27"/>
              <w:jc w:val="both"/>
              <w:rPr>
                <w:rFonts w:eastAsia="Calibri"/>
                <w:sz w:val="22"/>
                <w:szCs w:val="22"/>
                <w:lang w:eastAsia="en-US"/>
              </w:rPr>
            </w:pPr>
          </w:p>
          <w:p w14:paraId="70BF8AF0">
            <w:pPr>
              <w:shd w:val="clear" w:color="auto" w:fill="FFFFFF"/>
              <w:ind w:firstLine="27"/>
              <w:jc w:val="both"/>
              <w:rPr>
                <w:rFonts w:eastAsia="Calibri"/>
                <w:sz w:val="22"/>
                <w:szCs w:val="22"/>
                <w:lang w:eastAsia="en-US"/>
              </w:rPr>
            </w:pPr>
            <w:r>
              <w:rPr>
                <w:rFonts w:eastAsia="Calibri"/>
                <w:sz w:val="22"/>
                <w:szCs w:val="22"/>
                <w:lang w:eastAsia="en-US"/>
              </w:rPr>
              <w:t>1.501.93 211</w:t>
            </w:r>
          </w:p>
          <w:p w14:paraId="4B766B87">
            <w:pPr>
              <w:shd w:val="clear" w:color="auto" w:fill="FFFFFF"/>
              <w:ind w:firstLine="27"/>
              <w:jc w:val="both"/>
              <w:rPr>
                <w:rFonts w:eastAsia="Calibri"/>
                <w:sz w:val="22"/>
                <w:szCs w:val="22"/>
                <w:lang w:eastAsia="en-US"/>
              </w:rPr>
            </w:pPr>
            <w:r>
              <w:rPr>
                <w:rFonts w:eastAsia="Calibri"/>
                <w:sz w:val="22"/>
                <w:szCs w:val="22"/>
                <w:lang w:eastAsia="en-US"/>
              </w:rPr>
              <w:t>1.501.93 213</w:t>
            </w:r>
          </w:p>
          <w:p w14:paraId="5A816592">
            <w:pPr>
              <w:shd w:val="clear" w:color="auto" w:fill="FFFFFF"/>
              <w:ind w:firstLine="27"/>
              <w:jc w:val="both"/>
              <w:rPr>
                <w:rFonts w:eastAsia="Calibri"/>
                <w:sz w:val="22"/>
                <w:szCs w:val="22"/>
                <w:lang w:eastAsia="en-US"/>
              </w:rPr>
            </w:pPr>
          </w:p>
        </w:tc>
        <w:tc>
          <w:tcPr>
            <w:tcW w:w="1794"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7333D4D5">
            <w:pPr>
              <w:shd w:val="clear" w:color="auto" w:fill="FFFFFF"/>
              <w:ind w:firstLine="27"/>
              <w:jc w:val="both"/>
              <w:rPr>
                <w:rFonts w:eastAsia="Calibri"/>
                <w:sz w:val="22"/>
                <w:szCs w:val="22"/>
                <w:lang w:eastAsia="en-US"/>
              </w:rPr>
            </w:pPr>
          </w:p>
          <w:p w14:paraId="08ED681E">
            <w:pPr>
              <w:shd w:val="clear" w:color="auto" w:fill="FFFFFF"/>
              <w:ind w:firstLine="27"/>
              <w:jc w:val="both"/>
              <w:rPr>
                <w:rFonts w:eastAsia="Calibri"/>
                <w:sz w:val="22"/>
                <w:szCs w:val="22"/>
                <w:lang w:eastAsia="en-US"/>
              </w:rPr>
            </w:pPr>
            <w:r>
              <w:rPr>
                <w:rFonts w:eastAsia="Calibri"/>
                <w:sz w:val="22"/>
                <w:szCs w:val="22"/>
                <w:lang w:eastAsia="en-US"/>
              </w:rPr>
              <w:t>1.502.99 211</w:t>
            </w:r>
          </w:p>
          <w:p w14:paraId="0164E2D7">
            <w:pPr>
              <w:shd w:val="clear" w:color="auto" w:fill="FFFFFF"/>
              <w:ind w:firstLine="27"/>
              <w:jc w:val="both"/>
              <w:rPr>
                <w:rFonts w:eastAsia="Calibri"/>
                <w:sz w:val="22"/>
                <w:szCs w:val="22"/>
                <w:lang w:eastAsia="en-US"/>
              </w:rPr>
            </w:pPr>
            <w:r>
              <w:rPr>
                <w:rFonts w:eastAsia="Calibri"/>
                <w:sz w:val="22"/>
                <w:szCs w:val="22"/>
                <w:lang w:eastAsia="en-US"/>
              </w:rPr>
              <w:t>1.502.99 213</w:t>
            </w:r>
          </w:p>
          <w:p w14:paraId="6DF9C5AE">
            <w:pPr>
              <w:shd w:val="clear" w:color="auto" w:fill="FFFFFF"/>
              <w:ind w:firstLine="27"/>
              <w:jc w:val="both"/>
              <w:rPr>
                <w:rFonts w:eastAsia="Calibri"/>
                <w:sz w:val="22"/>
                <w:szCs w:val="22"/>
                <w:lang w:eastAsia="en-US"/>
              </w:rPr>
            </w:pPr>
          </w:p>
        </w:tc>
      </w:tr>
      <w:tr w14:paraId="4F5F9A32">
        <w:tblPrEx>
          <w:tblCellMar>
            <w:top w:w="0" w:type="dxa"/>
            <w:left w:w="0" w:type="dxa"/>
            <w:bottom w:w="0" w:type="dxa"/>
            <w:right w:w="0" w:type="dxa"/>
          </w:tblCellMar>
        </w:tblPrEx>
        <w:trPr>
          <w:wBefore w:w="0" w:type="dxa"/>
          <w:wAfter w:w="0" w:type="dxa"/>
          <w:tblCellSpacing w:w="0" w:type="dxa"/>
          <w:jc w:val="center"/>
        </w:trPr>
        <w:tc>
          <w:tcPr>
            <w:tcW w:w="613" w:type="dxa"/>
            <w:tcBorders>
              <w:top w:val="nil"/>
              <w:left w:val="single" w:color="auto" w:sz="8" w:space="0"/>
              <w:bottom w:val="single" w:color="auto" w:sz="8" w:space="0"/>
              <w:right w:val="single" w:color="auto" w:sz="8" w:space="0"/>
            </w:tcBorders>
            <w:noWrap w:val="0"/>
            <w:tcMar>
              <w:top w:w="120" w:type="dxa"/>
              <w:left w:w="120" w:type="dxa"/>
              <w:bottom w:w="120" w:type="dxa"/>
              <w:right w:w="120" w:type="dxa"/>
            </w:tcMar>
            <w:vAlign w:val="center"/>
          </w:tcPr>
          <w:p w14:paraId="169C5D5A">
            <w:pPr>
              <w:spacing w:after="150"/>
              <w:ind w:firstLine="567"/>
              <w:jc w:val="both"/>
              <w:rPr>
                <w:rFonts w:eastAsia="Calibri"/>
                <w:sz w:val="22"/>
                <w:szCs w:val="22"/>
                <w:lang w:eastAsia="en-US"/>
              </w:rPr>
            </w:pPr>
            <w:r>
              <w:rPr>
                <w:rFonts w:eastAsia="Calibri"/>
                <w:sz w:val="22"/>
                <w:szCs w:val="22"/>
                <w:lang w:eastAsia="en-US"/>
              </w:rPr>
              <w:t>3</w:t>
            </w:r>
          </w:p>
        </w:tc>
        <w:tc>
          <w:tcPr>
            <w:tcW w:w="5861"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16027787">
            <w:pPr>
              <w:shd w:val="clear" w:color="auto" w:fill="FFFFFF"/>
              <w:ind w:firstLine="567"/>
              <w:jc w:val="both"/>
              <w:rPr>
                <w:rFonts w:eastAsia="Calibri"/>
                <w:sz w:val="22"/>
                <w:szCs w:val="22"/>
                <w:lang w:eastAsia="en-US"/>
              </w:rPr>
            </w:pPr>
            <w:r>
              <w:rPr>
                <w:rFonts w:eastAsia="Calibri"/>
                <w:sz w:val="22"/>
                <w:szCs w:val="22"/>
                <w:lang w:eastAsia="en-US"/>
              </w:rPr>
              <w:t>Начисление оплаты отпуска за проработанное время (компенсации за неиспользованный отпуск):</w:t>
            </w:r>
          </w:p>
          <w:p w14:paraId="58C92A4F">
            <w:pPr>
              <w:shd w:val="clear" w:color="auto" w:fill="FFFFFF"/>
              <w:ind w:firstLine="567"/>
              <w:jc w:val="both"/>
              <w:rPr>
                <w:rFonts w:eastAsia="Calibri"/>
                <w:sz w:val="22"/>
                <w:szCs w:val="22"/>
                <w:lang w:eastAsia="en-US"/>
              </w:rPr>
            </w:pPr>
            <w:r>
              <w:rPr>
                <w:rFonts w:eastAsia="Calibri"/>
                <w:sz w:val="22"/>
                <w:szCs w:val="22"/>
                <w:lang w:eastAsia="en-US"/>
              </w:rPr>
              <w:t>·         За счет резерва;</w:t>
            </w:r>
          </w:p>
          <w:p w14:paraId="3502F4B7">
            <w:pPr>
              <w:shd w:val="clear" w:color="auto" w:fill="FFFFFF"/>
              <w:ind w:firstLine="567"/>
              <w:jc w:val="both"/>
              <w:rPr>
                <w:rFonts w:eastAsia="Calibri"/>
                <w:sz w:val="22"/>
                <w:szCs w:val="22"/>
                <w:lang w:eastAsia="en-US"/>
              </w:rPr>
            </w:pPr>
            <w:r>
              <w:rPr>
                <w:rFonts w:eastAsia="Calibri"/>
                <w:sz w:val="22"/>
                <w:szCs w:val="22"/>
                <w:lang w:eastAsia="en-US"/>
              </w:rPr>
              <w:t>·         В случае, если сумма резерва меньше суммы начисленных отпускных (на сумму превышения начисленных отпускных над суммой резерва);</w:t>
            </w:r>
          </w:p>
        </w:tc>
        <w:tc>
          <w:tcPr>
            <w:tcW w:w="1559"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6D4F1ABE">
            <w:pPr>
              <w:shd w:val="clear" w:color="auto" w:fill="FFFFFF"/>
              <w:ind w:firstLine="27"/>
              <w:jc w:val="both"/>
              <w:rPr>
                <w:rFonts w:eastAsia="Calibri"/>
                <w:sz w:val="22"/>
                <w:szCs w:val="22"/>
                <w:lang w:eastAsia="en-US"/>
              </w:rPr>
            </w:pPr>
          </w:p>
          <w:p w14:paraId="0C84B411">
            <w:pPr>
              <w:shd w:val="clear" w:color="auto" w:fill="FFFFFF"/>
              <w:ind w:firstLine="27"/>
              <w:jc w:val="both"/>
              <w:rPr>
                <w:rFonts w:eastAsia="Calibri"/>
                <w:sz w:val="22"/>
                <w:szCs w:val="22"/>
                <w:lang w:eastAsia="en-US"/>
              </w:rPr>
            </w:pPr>
            <w:r>
              <w:rPr>
                <w:rFonts w:eastAsia="Calibri"/>
                <w:sz w:val="22"/>
                <w:szCs w:val="22"/>
                <w:lang w:eastAsia="en-US"/>
              </w:rPr>
              <w:t>1.401.61 211</w:t>
            </w:r>
          </w:p>
          <w:p w14:paraId="4DE2F152">
            <w:pPr>
              <w:shd w:val="clear" w:color="auto" w:fill="FFFFFF"/>
              <w:ind w:firstLine="27"/>
              <w:jc w:val="both"/>
              <w:rPr>
                <w:rFonts w:eastAsia="Calibri"/>
                <w:sz w:val="22"/>
                <w:szCs w:val="22"/>
                <w:lang w:eastAsia="en-US"/>
              </w:rPr>
            </w:pPr>
            <w:r>
              <w:rPr>
                <w:rFonts w:eastAsia="Calibri"/>
                <w:sz w:val="22"/>
                <w:szCs w:val="22"/>
                <w:lang w:eastAsia="en-US"/>
              </w:rPr>
              <w:t>1.401.61 213</w:t>
            </w:r>
          </w:p>
          <w:p w14:paraId="363EA496">
            <w:pPr>
              <w:shd w:val="clear" w:color="auto" w:fill="FFFFFF"/>
              <w:ind w:firstLine="27"/>
              <w:jc w:val="both"/>
              <w:rPr>
                <w:rFonts w:eastAsia="Calibri"/>
                <w:sz w:val="22"/>
                <w:szCs w:val="22"/>
                <w:lang w:eastAsia="en-US"/>
              </w:rPr>
            </w:pPr>
            <w:r>
              <w:rPr>
                <w:rFonts w:eastAsia="Calibri"/>
                <w:sz w:val="22"/>
                <w:szCs w:val="22"/>
                <w:lang w:eastAsia="en-US"/>
              </w:rPr>
              <w:t>1.401.20 211</w:t>
            </w:r>
          </w:p>
          <w:p w14:paraId="0A9AD5F5">
            <w:pPr>
              <w:shd w:val="clear" w:color="auto" w:fill="FFFFFF"/>
              <w:ind w:firstLine="27"/>
              <w:jc w:val="both"/>
              <w:rPr>
                <w:rFonts w:eastAsia="Calibri"/>
                <w:sz w:val="22"/>
                <w:szCs w:val="22"/>
                <w:lang w:eastAsia="en-US"/>
              </w:rPr>
            </w:pPr>
            <w:r>
              <w:rPr>
                <w:rFonts w:eastAsia="Calibri"/>
                <w:sz w:val="22"/>
                <w:szCs w:val="22"/>
                <w:lang w:eastAsia="en-US"/>
              </w:rPr>
              <w:t>1.401.20 213</w:t>
            </w:r>
          </w:p>
          <w:p w14:paraId="248FA1F0">
            <w:pPr>
              <w:shd w:val="clear" w:color="auto" w:fill="FFFFFF"/>
              <w:ind w:firstLine="27"/>
              <w:jc w:val="both"/>
              <w:rPr>
                <w:rFonts w:eastAsia="Calibri"/>
                <w:sz w:val="22"/>
                <w:szCs w:val="22"/>
                <w:lang w:eastAsia="en-US"/>
              </w:rPr>
            </w:pPr>
          </w:p>
        </w:tc>
        <w:tc>
          <w:tcPr>
            <w:tcW w:w="1794"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4C4B926E">
            <w:pPr>
              <w:shd w:val="clear" w:color="auto" w:fill="FFFFFF"/>
              <w:ind w:firstLine="27"/>
              <w:jc w:val="both"/>
              <w:rPr>
                <w:rFonts w:eastAsia="Calibri"/>
                <w:sz w:val="22"/>
                <w:szCs w:val="22"/>
                <w:lang w:eastAsia="en-US"/>
              </w:rPr>
            </w:pPr>
          </w:p>
          <w:p w14:paraId="6B4C1F62">
            <w:pPr>
              <w:shd w:val="clear" w:color="auto" w:fill="FFFFFF"/>
              <w:ind w:firstLine="27"/>
              <w:jc w:val="both"/>
              <w:rPr>
                <w:rFonts w:eastAsia="Calibri"/>
                <w:sz w:val="22"/>
                <w:szCs w:val="22"/>
                <w:lang w:eastAsia="en-US"/>
              </w:rPr>
            </w:pPr>
            <w:r>
              <w:rPr>
                <w:rFonts w:eastAsia="Calibri"/>
                <w:sz w:val="22"/>
                <w:szCs w:val="22"/>
                <w:lang w:eastAsia="en-US"/>
              </w:rPr>
              <w:t>1.302.11 730</w:t>
            </w:r>
          </w:p>
          <w:p w14:paraId="3097044F">
            <w:pPr>
              <w:shd w:val="clear" w:color="auto" w:fill="FFFFFF"/>
              <w:ind w:firstLine="27"/>
              <w:jc w:val="both"/>
              <w:rPr>
                <w:rFonts w:eastAsia="Calibri"/>
                <w:sz w:val="22"/>
                <w:szCs w:val="22"/>
                <w:lang w:eastAsia="en-US"/>
              </w:rPr>
            </w:pPr>
            <w:r>
              <w:rPr>
                <w:rFonts w:eastAsia="Calibri"/>
                <w:sz w:val="22"/>
                <w:szCs w:val="22"/>
                <w:lang w:eastAsia="en-US"/>
              </w:rPr>
              <w:t>1.303.ХХ 730</w:t>
            </w:r>
          </w:p>
          <w:p w14:paraId="4D250840">
            <w:pPr>
              <w:shd w:val="clear" w:color="auto" w:fill="FFFFFF"/>
              <w:ind w:firstLine="27"/>
              <w:jc w:val="both"/>
              <w:rPr>
                <w:rFonts w:eastAsia="Calibri"/>
                <w:sz w:val="22"/>
                <w:szCs w:val="22"/>
                <w:lang w:eastAsia="en-US"/>
              </w:rPr>
            </w:pPr>
            <w:r>
              <w:rPr>
                <w:rFonts w:eastAsia="Calibri"/>
                <w:sz w:val="22"/>
                <w:szCs w:val="22"/>
                <w:lang w:eastAsia="en-US"/>
              </w:rPr>
              <w:t>1.302.11 730</w:t>
            </w:r>
          </w:p>
          <w:p w14:paraId="28241EC1">
            <w:pPr>
              <w:shd w:val="clear" w:color="auto" w:fill="FFFFFF"/>
              <w:ind w:firstLine="27"/>
              <w:jc w:val="both"/>
              <w:rPr>
                <w:rFonts w:eastAsia="Calibri"/>
                <w:sz w:val="22"/>
                <w:szCs w:val="22"/>
                <w:lang w:eastAsia="en-US"/>
              </w:rPr>
            </w:pPr>
            <w:r>
              <w:rPr>
                <w:rFonts w:eastAsia="Calibri"/>
                <w:sz w:val="22"/>
                <w:szCs w:val="22"/>
                <w:lang w:eastAsia="en-US"/>
              </w:rPr>
              <w:t>1.303.ХХ 730</w:t>
            </w:r>
          </w:p>
        </w:tc>
      </w:tr>
      <w:tr w14:paraId="4B0DD92B">
        <w:tblPrEx>
          <w:tblCellMar>
            <w:top w:w="0" w:type="dxa"/>
            <w:left w:w="0" w:type="dxa"/>
            <w:bottom w:w="0" w:type="dxa"/>
            <w:right w:w="0" w:type="dxa"/>
          </w:tblCellMar>
        </w:tblPrEx>
        <w:trPr>
          <w:wBefore w:w="0" w:type="dxa"/>
          <w:wAfter w:w="0" w:type="dxa"/>
          <w:trHeight w:val="534" w:hRule="atLeast"/>
          <w:tblCellSpacing w:w="0" w:type="dxa"/>
          <w:jc w:val="center"/>
        </w:trPr>
        <w:tc>
          <w:tcPr>
            <w:tcW w:w="613" w:type="dxa"/>
            <w:tcBorders>
              <w:top w:val="nil"/>
              <w:left w:val="single" w:color="auto" w:sz="8" w:space="0"/>
              <w:bottom w:val="single" w:color="auto" w:sz="8" w:space="0"/>
              <w:right w:val="single" w:color="auto" w:sz="8" w:space="0"/>
            </w:tcBorders>
            <w:noWrap w:val="0"/>
            <w:tcMar>
              <w:top w:w="120" w:type="dxa"/>
              <w:left w:w="120" w:type="dxa"/>
              <w:bottom w:w="120" w:type="dxa"/>
              <w:right w:w="120" w:type="dxa"/>
            </w:tcMar>
            <w:vAlign w:val="center"/>
          </w:tcPr>
          <w:p w14:paraId="7CFC20F4">
            <w:pPr>
              <w:spacing w:after="150"/>
              <w:ind w:firstLine="567"/>
              <w:jc w:val="both"/>
              <w:rPr>
                <w:rFonts w:eastAsia="Calibri"/>
                <w:sz w:val="22"/>
                <w:szCs w:val="22"/>
                <w:lang w:eastAsia="en-US"/>
              </w:rPr>
            </w:pPr>
            <w:r>
              <w:rPr>
                <w:rFonts w:eastAsia="Calibri"/>
                <w:sz w:val="22"/>
                <w:szCs w:val="22"/>
                <w:lang w:eastAsia="en-US"/>
              </w:rPr>
              <w:t>4</w:t>
            </w:r>
          </w:p>
        </w:tc>
        <w:tc>
          <w:tcPr>
            <w:tcW w:w="5861"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1A933F0D">
            <w:pPr>
              <w:spacing w:after="150"/>
              <w:ind w:firstLine="206"/>
              <w:jc w:val="both"/>
              <w:rPr>
                <w:rFonts w:eastAsia="Calibri"/>
                <w:sz w:val="22"/>
                <w:szCs w:val="22"/>
                <w:lang w:eastAsia="en-US"/>
              </w:rPr>
            </w:pPr>
            <w:r>
              <w:rPr>
                <w:rFonts w:eastAsia="Calibri"/>
                <w:sz w:val="22"/>
                <w:szCs w:val="22"/>
                <w:lang w:eastAsia="en-US"/>
              </w:rPr>
              <w:t>Отражение в учете расходных обязательств по выплатам начисленных отпусков (компенсации за неиспользованный отпуск), производимых за счет ранее созданного резерва. Одновременно производится уменьшение ранее отраженных обязательств методом «красное сторно».</w:t>
            </w:r>
          </w:p>
        </w:tc>
        <w:tc>
          <w:tcPr>
            <w:tcW w:w="1559"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4D77BEF4">
            <w:pPr>
              <w:shd w:val="clear" w:color="auto" w:fill="FFFFFF"/>
              <w:ind w:firstLine="27"/>
              <w:jc w:val="both"/>
              <w:rPr>
                <w:rFonts w:eastAsia="Calibri"/>
                <w:sz w:val="22"/>
                <w:szCs w:val="22"/>
                <w:lang w:eastAsia="en-US"/>
              </w:rPr>
            </w:pPr>
            <w:r>
              <w:rPr>
                <w:rFonts w:eastAsia="Calibri"/>
                <w:sz w:val="22"/>
                <w:szCs w:val="22"/>
                <w:lang w:eastAsia="en-US"/>
              </w:rPr>
              <w:t>1.501.13 211</w:t>
            </w:r>
          </w:p>
          <w:p w14:paraId="781A9CD0">
            <w:pPr>
              <w:shd w:val="clear" w:color="auto" w:fill="FFFFFF"/>
              <w:ind w:firstLine="27"/>
              <w:jc w:val="both"/>
              <w:rPr>
                <w:rFonts w:eastAsia="Calibri"/>
                <w:sz w:val="22"/>
                <w:szCs w:val="22"/>
                <w:lang w:eastAsia="en-US"/>
              </w:rPr>
            </w:pPr>
            <w:r>
              <w:rPr>
                <w:rFonts w:eastAsia="Calibri"/>
                <w:sz w:val="22"/>
                <w:szCs w:val="22"/>
                <w:lang w:eastAsia="en-US"/>
              </w:rPr>
              <w:t>1.501.13 213</w:t>
            </w:r>
          </w:p>
          <w:p w14:paraId="6BE8F01F">
            <w:pPr>
              <w:shd w:val="clear" w:color="auto" w:fill="FFFFFF"/>
              <w:ind w:firstLine="27"/>
              <w:jc w:val="both"/>
              <w:rPr>
                <w:rFonts w:eastAsia="Calibri"/>
                <w:sz w:val="22"/>
                <w:szCs w:val="22"/>
                <w:lang w:eastAsia="en-US"/>
              </w:rPr>
            </w:pPr>
            <w:r>
              <w:rPr>
                <w:rFonts w:eastAsia="Calibri"/>
                <w:sz w:val="22"/>
                <w:szCs w:val="22"/>
                <w:lang w:eastAsia="en-US"/>
              </w:rPr>
              <w:t>1.506.10 213</w:t>
            </w:r>
          </w:p>
        </w:tc>
        <w:tc>
          <w:tcPr>
            <w:tcW w:w="1794" w:type="dxa"/>
            <w:tcBorders>
              <w:top w:val="nil"/>
              <w:left w:val="nil"/>
              <w:bottom w:val="single" w:color="auto" w:sz="8" w:space="0"/>
              <w:right w:val="single" w:color="auto" w:sz="8" w:space="0"/>
            </w:tcBorders>
            <w:noWrap w:val="0"/>
            <w:tcMar>
              <w:top w:w="120" w:type="dxa"/>
              <w:left w:w="120" w:type="dxa"/>
              <w:bottom w:w="120" w:type="dxa"/>
              <w:right w:w="120" w:type="dxa"/>
            </w:tcMar>
            <w:vAlign w:val="center"/>
          </w:tcPr>
          <w:p w14:paraId="0E85BC96">
            <w:pPr>
              <w:shd w:val="clear" w:color="auto" w:fill="FFFFFF"/>
              <w:ind w:firstLine="27"/>
              <w:jc w:val="both"/>
              <w:rPr>
                <w:rFonts w:eastAsia="Calibri"/>
                <w:sz w:val="22"/>
                <w:szCs w:val="22"/>
                <w:lang w:eastAsia="en-US"/>
              </w:rPr>
            </w:pPr>
            <w:r>
              <w:rPr>
                <w:rFonts w:eastAsia="Calibri"/>
                <w:sz w:val="22"/>
                <w:szCs w:val="22"/>
                <w:lang w:eastAsia="en-US"/>
              </w:rPr>
              <w:t>1.502.11 211</w:t>
            </w:r>
          </w:p>
          <w:p w14:paraId="6FD115F7">
            <w:pPr>
              <w:shd w:val="clear" w:color="auto" w:fill="FFFFFF"/>
              <w:ind w:firstLine="27"/>
              <w:jc w:val="both"/>
              <w:rPr>
                <w:rFonts w:eastAsia="Calibri"/>
                <w:sz w:val="22"/>
                <w:szCs w:val="22"/>
                <w:lang w:eastAsia="en-US"/>
              </w:rPr>
            </w:pPr>
            <w:r>
              <w:rPr>
                <w:rFonts w:eastAsia="Calibri"/>
                <w:sz w:val="22"/>
                <w:szCs w:val="22"/>
                <w:lang w:eastAsia="en-US"/>
              </w:rPr>
              <w:t>1.502.11 213</w:t>
            </w:r>
          </w:p>
          <w:p w14:paraId="723FCAF8">
            <w:pPr>
              <w:shd w:val="clear" w:color="auto" w:fill="FFFFFF"/>
              <w:ind w:firstLine="27"/>
              <w:jc w:val="both"/>
              <w:rPr>
                <w:rFonts w:eastAsia="Calibri"/>
                <w:sz w:val="22"/>
                <w:szCs w:val="22"/>
                <w:lang w:eastAsia="en-US"/>
              </w:rPr>
            </w:pPr>
            <w:r>
              <w:rPr>
                <w:rFonts w:eastAsia="Calibri"/>
                <w:sz w:val="22"/>
                <w:szCs w:val="22"/>
                <w:lang w:eastAsia="en-US"/>
              </w:rPr>
              <w:t>1.502.11 213</w:t>
            </w:r>
          </w:p>
        </w:tc>
      </w:tr>
    </w:tbl>
    <w:p w14:paraId="012A424B">
      <w:pPr>
        <w:shd w:val="clear" w:color="auto" w:fill="FFFFFF"/>
        <w:spacing w:before="360" w:line="360" w:lineRule="auto"/>
        <w:ind w:firstLine="567"/>
        <w:jc w:val="center"/>
        <w:textAlignment w:val="baseline"/>
        <w:rPr>
          <w:color w:val="333333"/>
          <w:szCs w:val="28"/>
        </w:rPr>
      </w:pPr>
      <w:r>
        <w:rPr>
          <w:color w:val="333333"/>
          <w:szCs w:val="28"/>
        </w:rPr>
        <w:t>Детализация счета 401.60 по видам резервов</w:t>
      </w:r>
    </w:p>
    <w:tbl>
      <w:tblPr>
        <w:tblStyle w:val="4"/>
        <w:tblW w:w="5000" w:type="pct"/>
        <w:tblInd w:w="0" w:type="dxa"/>
        <w:tblLayout w:type="autofit"/>
        <w:tblCellMar>
          <w:top w:w="15" w:type="dxa"/>
          <w:left w:w="15" w:type="dxa"/>
          <w:bottom w:w="15" w:type="dxa"/>
          <w:right w:w="15" w:type="dxa"/>
        </w:tblCellMar>
      </w:tblPr>
      <w:tblGrid>
        <w:gridCol w:w="2024"/>
        <w:gridCol w:w="7763"/>
      </w:tblGrid>
      <w:tr w14:paraId="519577A0">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76B11059">
            <w:pPr>
              <w:spacing w:line="360" w:lineRule="auto"/>
              <w:ind w:firstLine="284"/>
              <w:rPr>
                <w:rFonts w:eastAsia="Calibri"/>
                <w:sz w:val="22"/>
                <w:szCs w:val="22"/>
                <w:lang w:eastAsia="en-US"/>
              </w:rPr>
            </w:pPr>
            <w:bookmarkStart w:id="0" w:name="l38"/>
            <w:bookmarkEnd w:id="0"/>
            <w:r>
              <w:rPr>
                <w:rFonts w:eastAsia="Calibri"/>
                <w:sz w:val="22"/>
                <w:szCs w:val="22"/>
                <w:lang w:eastAsia="en-US"/>
              </w:rPr>
              <w:t>0 401 60 200</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602E0BB3">
            <w:pPr>
              <w:ind w:firstLine="244"/>
              <w:rPr>
                <w:rFonts w:eastAsia="Calibri"/>
                <w:sz w:val="22"/>
                <w:szCs w:val="22"/>
                <w:lang w:eastAsia="en-US"/>
              </w:rPr>
            </w:pPr>
            <w:r>
              <w:rPr>
                <w:rFonts w:eastAsia="Calibri"/>
                <w:sz w:val="22"/>
                <w:szCs w:val="22"/>
                <w:lang w:eastAsia="en-US"/>
              </w:rPr>
              <w:t>Резервы предстоящих расходов</w:t>
            </w:r>
          </w:p>
        </w:tc>
      </w:tr>
      <w:tr w14:paraId="24448D6B">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6A833F36">
            <w:pPr>
              <w:spacing w:line="360" w:lineRule="auto"/>
              <w:ind w:firstLine="284"/>
              <w:rPr>
                <w:rFonts w:eastAsia="Calibri"/>
                <w:sz w:val="22"/>
                <w:szCs w:val="22"/>
                <w:lang w:eastAsia="en-US"/>
              </w:rPr>
            </w:pPr>
            <w:r>
              <w:rPr>
                <w:rFonts w:eastAsia="Calibri"/>
                <w:sz w:val="22"/>
                <w:szCs w:val="22"/>
                <w:lang w:eastAsia="en-US"/>
              </w:rPr>
              <w:t>0 401 61 210</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76F68C2B">
            <w:pPr>
              <w:ind w:firstLine="244"/>
              <w:rPr>
                <w:rFonts w:eastAsia="Calibri"/>
                <w:sz w:val="22"/>
                <w:szCs w:val="22"/>
                <w:lang w:eastAsia="en-US"/>
              </w:rPr>
            </w:pPr>
            <w:r>
              <w:rPr>
                <w:rFonts w:eastAsia="Calibri"/>
                <w:sz w:val="22"/>
                <w:szCs w:val="22"/>
                <w:lang w:eastAsia="en-US"/>
              </w:rPr>
              <w:t>Резерв на оплату отпусков за фактически отработанное время</w:t>
            </w:r>
          </w:p>
        </w:tc>
      </w:tr>
      <w:tr w14:paraId="4A79C36C">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499FB474">
            <w:pPr>
              <w:spacing w:line="360" w:lineRule="auto"/>
              <w:ind w:firstLine="284"/>
              <w:rPr>
                <w:rFonts w:eastAsia="Calibri"/>
                <w:sz w:val="22"/>
                <w:szCs w:val="22"/>
                <w:lang w:eastAsia="en-US"/>
              </w:rPr>
            </w:pPr>
            <w:r>
              <w:rPr>
                <w:rFonts w:eastAsia="Calibri"/>
                <w:sz w:val="22"/>
                <w:szCs w:val="22"/>
                <w:lang w:eastAsia="en-US"/>
              </w:rPr>
              <w:t>0 401 61 211</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1EBB0F95">
            <w:pPr>
              <w:ind w:firstLine="244"/>
              <w:rPr>
                <w:rFonts w:eastAsia="Calibri"/>
                <w:sz w:val="22"/>
                <w:szCs w:val="22"/>
                <w:lang w:eastAsia="en-US"/>
              </w:rPr>
            </w:pPr>
            <w:r>
              <w:rPr>
                <w:rFonts w:eastAsia="Calibri"/>
                <w:sz w:val="22"/>
                <w:szCs w:val="22"/>
                <w:lang w:eastAsia="en-US"/>
              </w:rPr>
              <w:t>Резерв на оплату отпусков за фактически отработанное время в части выплат персоналу</w:t>
            </w:r>
          </w:p>
        </w:tc>
      </w:tr>
      <w:tr w14:paraId="1DEF67F8">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0C40973D">
            <w:pPr>
              <w:spacing w:line="360" w:lineRule="auto"/>
              <w:ind w:firstLine="284"/>
              <w:rPr>
                <w:rFonts w:eastAsia="Calibri"/>
                <w:sz w:val="22"/>
                <w:szCs w:val="22"/>
                <w:lang w:eastAsia="en-US"/>
              </w:rPr>
            </w:pPr>
            <w:r>
              <w:rPr>
                <w:rFonts w:eastAsia="Calibri"/>
                <w:sz w:val="22"/>
                <w:szCs w:val="22"/>
                <w:lang w:eastAsia="en-US"/>
              </w:rPr>
              <w:t>0 401 61 213</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4B17A504">
            <w:pPr>
              <w:ind w:firstLine="244"/>
              <w:rPr>
                <w:rFonts w:eastAsia="Calibri"/>
                <w:sz w:val="22"/>
                <w:szCs w:val="22"/>
                <w:lang w:eastAsia="en-US"/>
              </w:rPr>
            </w:pPr>
            <w:r>
              <w:rPr>
                <w:rFonts w:eastAsia="Calibri"/>
                <w:sz w:val="22"/>
                <w:szCs w:val="22"/>
                <w:lang w:eastAsia="en-US"/>
              </w:rPr>
              <w:t>Резерв на оплату отпусков за фактически отработанное время в части оплаты страховых взносов</w:t>
            </w:r>
          </w:p>
        </w:tc>
      </w:tr>
      <w:tr w14:paraId="21B8BD1A">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6E43B3A1">
            <w:pPr>
              <w:spacing w:line="360" w:lineRule="auto"/>
              <w:ind w:firstLine="284"/>
              <w:rPr>
                <w:rFonts w:eastAsia="Calibri"/>
                <w:sz w:val="22"/>
                <w:szCs w:val="22"/>
                <w:lang w:eastAsia="en-US"/>
              </w:rPr>
            </w:pPr>
            <w:r>
              <w:rPr>
                <w:rFonts w:eastAsia="Calibri"/>
                <w:sz w:val="22"/>
                <w:szCs w:val="22"/>
                <w:lang w:eastAsia="en-US"/>
              </w:rPr>
              <w:t>0 401 62 200</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77D3CFEB">
            <w:pPr>
              <w:ind w:firstLine="244"/>
              <w:rPr>
                <w:rFonts w:eastAsia="Calibri"/>
                <w:sz w:val="22"/>
                <w:szCs w:val="22"/>
                <w:lang w:eastAsia="en-US"/>
              </w:rPr>
            </w:pPr>
            <w:r>
              <w:rPr>
                <w:rFonts w:eastAsia="Calibri"/>
                <w:sz w:val="22"/>
                <w:szCs w:val="22"/>
                <w:lang w:eastAsia="en-US"/>
              </w:rPr>
              <w:t>Резерв на оплату обязательств, но которым не поступили расчетные документы</w:t>
            </w:r>
          </w:p>
        </w:tc>
      </w:tr>
      <w:tr w14:paraId="31196AAE">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5CD13476">
            <w:pPr>
              <w:spacing w:line="360" w:lineRule="auto"/>
              <w:ind w:firstLine="284"/>
              <w:rPr>
                <w:rFonts w:eastAsia="Calibri"/>
                <w:sz w:val="22"/>
                <w:szCs w:val="22"/>
                <w:lang w:eastAsia="en-US"/>
              </w:rPr>
            </w:pPr>
            <w:r>
              <w:rPr>
                <w:rFonts w:eastAsia="Calibri"/>
                <w:sz w:val="22"/>
                <w:szCs w:val="22"/>
                <w:lang w:eastAsia="en-US"/>
              </w:rPr>
              <w:t>0 401 62 221</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60780D86">
            <w:pPr>
              <w:ind w:firstLine="244"/>
              <w:rPr>
                <w:rFonts w:eastAsia="Calibri"/>
                <w:sz w:val="22"/>
                <w:szCs w:val="22"/>
                <w:lang w:eastAsia="en-US"/>
              </w:rPr>
            </w:pPr>
            <w:bookmarkStart w:id="1" w:name="l39"/>
            <w:bookmarkEnd w:id="1"/>
            <w:r>
              <w:rPr>
                <w:rFonts w:eastAsia="Calibri"/>
                <w:sz w:val="22"/>
                <w:szCs w:val="22"/>
                <w:lang w:eastAsia="en-US"/>
              </w:rPr>
              <w:t>Резерв по оплате обязательств, по которым не поступили расчетные документы, по услугам связи</w:t>
            </w:r>
          </w:p>
        </w:tc>
      </w:tr>
      <w:tr w14:paraId="5623A103">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4F72A148">
            <w:pPr>
              <w:spacing w:line="360" w:lineRule="auto"/>
              <w:ind w:firstLine="284"/>
              <w:rPr>
                <w:rFonts w:eastAsia="Calibri"/>
                <w:sz w:val="22"/>
                <w:szCs w:val="22"/>
                <w:lang w:eastAsia="en-US"/>
              </w:rPr>
            </w:pPr>
            <w:r>
              <w:rPr>
                <w:rFonts w:eastAsia="Calibri"/>
                <w:sz w:val="22"/>
                <w:szCs w:val="22"/>
                <w:lang w:eastAsia="en-US"/>
              </w:rPr>
              <w:t>0 401 62 223</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4739CC2D">
            <w:pPr>
              <w:ind w:firstLine="244"/>
              <w:rPr>
                <w:rFonts w:eastAsia="Calibri"/>
                <w:sz w:val="22"/>
                <w:szCs w:val="22"/>
                <w:lang w:eastAsia="en-US"/>
              </w:rPr>
            </w:pPr>
            <w:r>
              <w:rPr>
                <w:rFonts w:eastAsia="Calibri"/>
                <w:sz w:val="22"/>
                <w:szCs w:val="22"/>
                <w:lang w:eastAsia="en-US"/>
              </w:rPr>
              <w:t>Резерв по оплате обязательств, по которым не поступили расчетные документы, по коммунальным услугам</w:t>
            </w:r>
          </w:p>
        </w:tc>
      </w:tr>
      <w:tr w14:paraId="14156A93">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0AAA0BA7">
            <w:pPr>
              <w:spacing w:line="360" w:lineRule="auto"/>
              <w:ind w:firstLine="284"/>
              <w:rPr>
                <w:rFonts w:eastAsia="Calibri"/>
                <w:sz w:val="22"/>
                <w:szCs w:val="22"/>
                <w:lang w:eastAsia="en-US"/>
              </w:rPr>
            </w:pPr>
            <w:r>
              <w:rPr>
                <w:rFonts w:eastAsia="Calibri"/>
                <w:sz w:val="22"/>
                <w:szCs w:val="22"/>
                <w:lang w:eastAsia="en-US"/>
              </w:rPr>
              <w:t>0 401 62 225</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30870E5F">
            <w:pPr>
              <w:ind w:firstLine="244"/>
              <w:rPr>
                <w:rFonts w:eastAsia="Calibri"/>
                <w:sz w:val="22"/>
                <w:szCs w:val="22"/>
                <w:lang w:eastAsia="en-US"/>
              </w:rPr>
            </w:pPr>
            <w:r>
              <w:rPr>
                <w:rFonts w:eastAsia="Calibri"/>
                <w:sz w:val="22"/>
                <w:szCs w:val="22"/>
                <w:lang w:eastAsia="en-US"/>
              </w:rPr>
              <w:t>Резерв по оплате обязательств, по которым не поступили расчетные документы, по работам, услугам по содержанию имущества</w:t>
            </w:r>
          </w:p>
        </w:tc>
      </w:tr>
      <w:tr w14:paraId="4E85F0E4">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61BD30C6">
            <w:pPr>
              <w:spacing w:line="360" w:lineRule="auto"/>
              <w:ind w:firstLine="284"/>
              <w:rPr>
                <w:rFonts w:eastAsia="Calibri"/>
                <w:sz w:val="22"/>
                <w:szCs w:val="22"/>
                <w:lang w:eastAsia="en-US"/>
              </w:rPr>
            </w:pPr>
            <w:r>
              <w:rPr>
                <w:rFonts w:eastAsia="Calibri"/>
                <w:sz w:val="22"/>
                <w:szCs w:val="22"/>
                <w:lang w:eastAsia="en-US"/>
              </w:rPr>
              <w:t>0 401 63 200</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1ECADE3B">
            <w:pPr>
              <w:ind w:firstLine="244"/>
              <w:rPr>
                <w:rFonts w:eastAsia="Calibri"/>
                <w:sz w:val="22"/>
                <w:szCs w:val="22"/>
                <w:lang w:eastAsia="en-US"/>
              </w:rPr>
            </w:pPr>
            <w:r>
              <w:rPr>
                <w:rFonts w:eastAsia="Calibri"/>
                <w:sz w:val="22"/>
                <w:szCs w:val="22"/>
                <w:lang w:eastAsia="en-US"/>
              </w:rPr>
              <w:t>Резерв по претензионным требованиям и искам</w:t>
            </w:r>
          </w:p>
        </w:tc>
      </w:tr>
      <w:tr w14:paraId="471CAEF0">
        <w:tblPrEx>
          <w:tblCellMar>
            <w:top w:w="15" w:type="dxa"/>
            <w:left w:w="15" w:type="dxa"/>
            <w:bottom w:w="15" w:type="dxa"/>
            <w:right w:w="15" w:type="dxa"/>
          </w:tblCellMar>
        </w:tblPrEx>
        <w:trPr>
          <w:wBefore w:w="0" w:type="dxa"/>
          <w:wAfter w:w="0" w:type="dxa"/>
        </w:trPr>
        <w:tc>
          <w:tcPr>
            <w:tcW w:w="1034"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28E9148D">
            <w:pPr>
              <w:spacing w:line="360" w:lineRule="auto"/>
              <w:ind w:firstLine="284"/>
              <w:rPr>
                <w:rFonts w:eastAsia="Calibri"/>
                <w:sz w:val="22"/>
                <w:szCs w:val="22"/>
                <w:lang w:eastAsia="en-US"/>
              </w:rPr>
            </w:pPr>
            <w:r>
              <w:rPr>
                <w:rFonts w:eastAsia="Calibri"/>
                <w:sz w:val="22"/>
                <w:szCs w:val="22"/>
                <w:lang w:eastAsia="en-US"/>
              </w:rPr>
              <w:t>0 401 63 296,297</w:t>
            </w:r>
          </w:p>
        </w:tc>
        <w:tc>
          <w:tcPr>
            <w:tcW w:w="3966" w:type="pct"/>
            <w:tcBorders>
              <w:top w:val="single" w:color="333333" w:sz="6" w:space="0"/>
              <w:left w:val="single" w:color="333333" w:sz="6" w:space="0"/>
              <w:bottom w:val="single" w:color="333333" w:sz="6" w:space="0"/>
              <w:right w:val="single" w:color="333333" w:sz="6" w:space="0"/>
            </w:tcBorders>
            <w:noWrap w:val="0"/>
            <w:tcMar>
              <w:top w:w="30" w:type="dxa"/>
              <w:left w:w="75" w:type="dxa"/>
              <w:bottom w:w="30" w:type="dxa"/>
              <w:right w:w="75" w:type="dxa"/>
            </w:tcMar>
            <w:vAlign w:val="top"/>
          </w:tcPr>
          <w:p w14:paraId="6AF1FE02">
            <w:pPr>
              <w:ind w:firstLine="244"/>
              <w:rPr>
                <w:rFonts w:eastAsia="Calibri"/>
                <w:sz w:val="22"/>
                <w:szCs w:val="22"/>
                <w:lang w:eastAsia="en-US"/>
              </w:rPr>
            </w:pPr>
            <w:r>
              <w:rPr>
                <w:rFonts w:eastAsia="Calibri"/>
                <w:sz w:val="22"/>
                <w:szCs w:val="22"/>
                <w:lang w:eastAsia="en-US"/>
              </w:rPr>
              <w:t>Резерв по претензионным требованиям и искам по прочим расходам</w:t>
            </w:r>
          </w:p>
        </w:tc>
      </w:tr>
    </w:tbl>
    <w:p w14:paraId="0D64E8A1">
      <w:pPr>
        <w:pStyle w:val="20"/>
        <w:ind w:firstLine="567"/>
        <w:jc w:val="both"/>
        <w:rPr>
          <w:sz w:val="25"/>
          <w:szCs w:val="25"/>
        </w:rPr>
      </w:pPr>
    </w:p>
    <w:p w14:paraId="061F9BA3">
      <w:pPr>
        <w:pStyle w:val="20"/>
        <w:ind w:firstLine="567"/>
        <w:jc w:val="both"/>
        <w:rPr>
          <w:sz w:val="16"/>
          <w:szCs w:val="16"/>
        </w:rPr>
      </w:pPr>
    </w:p>
    <w:p w14:paraId="1039F44E">
      <w:pPr>
        <w:pStyle w:val="20"/>
        <w:ind w:firstLine="567"/>
        <w:jc w:val="center"/>
        <w:rPr>
          <w:b/>
          <w:sz w:val="25"/>
          <w:szCs w:val="25"/>
        </w:rPr>
      </w:pPr>
      <w:r>
        <w:rPr>
          <w:b/>
          <w:sz w:val="25"/>
          <w:szCs w:val="25"/>
        </w:rPr>
        <w:t>12. Учет санкционирования расходов бюджета</w:t>
      </w:r>
    </w:p>
    <w:p w14:paraId="39125E22">
      <w:pPr>
        <w:pStyle w:val="20"/>
        <w:ind w:firstLine="567"/>
        <w:jc w:val="both"/>
        <w:rPr>
          <w:sz w:val="12"/>
          <w:szCs w:val="12"/>
        </w:rPr>
      </w:pPr>
    </w:p>
    <w:p w14:paraId="5959ABC5">
      <w:pPr>
        <w:pStyle w:val="20"/>
        <w:ind w:firstLine="567"/>
        <w:jc w:val="both"/>
        <w:rPr>
          <w:sz w:val="25"/>
          <w:szCs w:val="25"/>
        </w:rPr>
      </w:pPr>
      <w:r>
        <w:rPr>
          <w:sz w:val="25"/>
          <w:szCs w:val="25"/>
        </w:rPr>
        <w:t>12.1. Администрация является финансовым органом, главным администратором доходов бюджета, главным распорядителем бюджетных средств, распорядителем                                    и получателем бюджетных средств.</w:t>
      </w:r>
    </w:p>
    <w:p w14:paraId="22944340">
      <w:pPr>
        <w:pStyle w:val="20"/>
        <w:ind w:firstLine="567"/>
        <w:jc w:val="both"/>
        <w:rPr>
          <w:sz w:val="25"/>
          <w:szCs w:val="25"/>
        </w:rPr>
      </w:pPr>
      <w:r>
        <w:rPr>
          <w:sz w:val="25"/>
          <w:szCs w:val="25"/>
        </w:rPr>
        <w:t>12.2. Администрация, как главный распорядитель бюджетных средств, ведет учет доведенных показателей бюджетных ассигнований и лимитов бюджетных обязательств, утвержденных финансовым органом на текущий, очередной финансовый год и плановый период, а также сумм внесенных изменений в показатели бюджетных ассигнований и лимитов бюджетных обязательств, утвержденных в течение текущего финансового года.</w:t>
      </w:r>
    </w:p>
    <w:p w14:paraId="55FFDFA3">
      <w:pPr>
        <w:pStyle w:val="20"/>
        <w:ind w:firstLine="567"/>
        <w:jc w:val="both"/>
        <w:rPr>
          <w:sz w:val="25"/>
          <w:szCs w:val="25"/>
        </w:rPr>
      </w:pPr>
      <w:r>
        <w:rPr>
          <w:sz w:val="25"/>
          <w:szCs w:val="25"/>
        </w:rPr>
        <w:t>Администрация, как главный распорядитель бюджетных средств, ведет учет сумм, утвержденных и доведенных себе, как получателю бюджетных средств, бюджетных ассигнований и лимитов бюджетных обязательств на текущий, очередной финансовый год и плановый период, а также сумм внесенных изменений в показатели бюджетных ассигнований и лимитов бюджетных обязательств, утвержденные в течение текущего финансового года.</w:t>
      </w:r>
    </w:p>
    <w:p w14:paraId="3BF6C557">
      <w:pPr>
        <w:pStyle w:val="20"/>
        <w:ind w:firstLine="567"/>
        <w:jc w:val="both"/>
        <w:rPr>
          <w:sz w:val="25"/>
          <w:szCs w:val="25"/>
        </w:rPr>
      </w:pPr>
      <w:r>
        <w:rPr>
          <w:sz w:val="25"/>
          <w:szCs w:val="25"/>
        </w:rPr>
        <w:t xml:space="preserve">12.3. Переданные лимиты бюджетных обязательств отражают доведение лимитов               до получателей средств. </w:t>
      </w:r>
    </w:p>
    <w:p w14:paraId="2C047441">
      <w:pPr>
        <w:pStyle w:val="20"/>
        <w:ind w:firstLine="567"/>
        <w:jc w:val="both"/>
        <w:rPr>
          <w:sz w:val="25"/>
          <w:szCs w:val="25"/>
        </w:rPr>
      </w:pPr>
      <w:r>
        <w:rPr>
          <w:sz w:val="25"/>
          <w:szCs w:val="25"/>
        </w:rPr>
        <w:t xml:space="preserve">12.4. Принимаемые обязательства отражают обязательства аппарата, принимаемые при определении поставщиков (подрядчиков, исполнителей) с использованием конкурентных способов – конкурсов, аукционов, запросов котировок, запросов предложений. </w:t>
      </w:r>
    </w:p>
    <w:p w14:paraId="6490C67B">
      <w:pPr>
        <w:pStyle w:val="20"/>
        <w:ind w:firstLine="567"/>
        <w:jc w:val="both"/>
        <w:rPr>
          <w:i/>
          <w:sz w:val="25"/>
          <w:szCs w:val="25"/>
        </w:rPr>
      </w:pPr>
      <w:r>
        <w:rPr>
          <w:sz w:val="25"/>
          <w:szCs w:val="25"/>
        </w:rPr>
        <w:t>Суммы принимаемых обязательств определяются в размере начальной (максимальной) цены контракта (договора) на основании размещаемых в единой информационной системе в сфере закупок извещений об осуществлении закупок (направленных приглашений принять участие в определении поставщика (подрядчика, исполнителя) с использованием конкурентных способов определения поставщиков (подрядчиков, исполнителей) или при осуществлении закупки у единственного поставщика (подрядчика, исполнителя) (при условии размещении извещения, приглашения принять участие) (Основание: п.308 Инструкции 157н).</w:t>
      </w:r>
    </w:p>
    <w:p w14:paraId="6685A91D">
      <w:pPr>
        <w:pStyle w:val="20"/>
        <w:ind w:firstLine="567"/>
        <w:jc w:val="both"/>
        <w:rPr>
          <w:sz w:val="25"/>
          <w:szCs w:val="25"/>
        </w:rPr>
      </w:pPr>
      <w:r>
        <w:rPr>
          <w:sz w:val="25"/>
          <w:szCs w:val="25"/>
        </w:rPr>
        <w:t>Принимаемые обязательства отражаются в учетных регистрах по начальной (максимальной) цене контракта с записью: Дт 150113000   Кт 150217000.</w:t>
      </w:r>
    </w:p>
    <w:p w14:paraId="16D6E2CD">
      <w:pPr>
        <w:pStyle w:val="20"/>
        <w:ind w:firstLine="567"/>
        <w:jc w:val="both"/>
        <w:rPr>
          <w:sz w:val="25"/>
          <w:szCs w:val="25"/>
        </w:rPr>
      </w:pPr>
      <w:r>
        <w:rPr>
          <w:sz w:val="25"/>
          <w:szCs w:val="25"/>
        </w:rPr>
        <w:t>Если инициированная аппаратом процедура определения поставщика (подрядчика, исполнителя) не завершится подписанием контракта, приведенная выше запись отражается способом «красное сторно». При уточнении принимаемых обязательств  на сумму экономии, полученной при проведении аукциона, производится запись Дт 1 502 17 000 и Кт 1 501 13 000 (Основание: п. 141.1 Инструкции 162н).</w:t>
      </w:r>
    </w:p>
    <w:p w14:paraId="4AEDA138">
      <w:pPr>
        <w:pStyle w:val="20"/>
        <w:ind w:firstLine="567"/>
        <w:jc w:val="both"/>
        <w:rPr>
          <w:i/>
          <w:iCs/>
          <w:sz w:val="25"/>
          <w:szCs w:val="25"/>
        </w:rPr>
      </w:pPr>
      <w:r>
        <w:rPr>
          <w:sz w:val="25"/>
          <w:szCs w:val="25"/>
        </w:rPr>
        <w:t>12.5. Принятие денежных обязательств по осуществлению расходов и платежей путем составления платежных и иных документов, необходимых для совершения расходов и платежей, осуществляется в пределах, доведенных лимитов бюджетных обязательств и сметы доходов и расходов.</w:t>
      </w:r>
      <w:r>
        <w:rPr>
          <w:i/>
          <w:iCs/>
          <w:sz w:val="25"/>
          <w:szCs w:val="25"/>
        </w:rPr>
        <w:t xml:space="preserve"> </w:t>
      </w:r>
    </w:p>
    <w:p w14:paraId="278F0108">
      <w:pPr>
        <w:pStyle w:val="20"/>
        <w:ind w:firstLine="567"/>
        <w:jc w:val="both"/>
        <w:rPr>
          <w:sz w:val="25"/>
          <w:szCs w:val="25"/>
        </w:rPr>
      </w:pPr>
      <w:r>
        <w:rPr>
          <w:sz w:val="25"/>
          <w:szCs w:val="25"/>
        </w:rPr>
        <w:t>Документы, подтверждающие возникновение денежных обязательств:</w:t>
      </w:r>
    </w:p>
    <w:p w14:paraId="30C5682A">
      <w:pPr>
        <w:pStyle w:val="20"/>
        <w:ind w:firstLine="567"/>
        <w:jc w:val="both"/>
        <w:rPr>
          <w:sz w:val="25"/>
          <w:szCs w:val="25"/>
        </w:rPr>
      </w:pPr>
      <w:r>
        <w:rPr>
          <w:sz w:val="25"/>
          <w:szCs w:val="25"/>
        </w:rPr>
        <w:t>-  расчетная ведомость (ф. 0504402);</w:t>
      </w:r>
    </w:p>
    <w:p w14:paraId="75A118B8">
      <w:pPr>
        <w:pStyle w:val="20"/>
        <w:ind w:firstLine="567"/>
        <w:jc w:val="both"/>
        <w:rPr>
          <w:sz w:val="25"/>
          <w:szCs w:val="25"/>
        </w:rPr>
      </w:pPr>
      <w:r>
        <w:rPr>
          <w:sz w:val="25"/>
          <w:szCs w:val="25"/>
        </w:rPr>
        <w:t>- счет, счет-фактура, товарная накладная, универсальный передаточный документ, справка-расчет, товарно-кассовый чек;</w:t>
      </w:r>
    </w:p>
    <w:p w14:paraId="03DF2236">
      <w:pPr>
        <w:pStyle w:val="20"/>
        <w:ind w:firstLine="567"/>
        <w:jc w:val="both"/>
        <w:rPr>
          <w:sz w:val="25"/>
          <w:szCs w:val="25"/>
        </w:rPr>
      </w:pPr>
      <w:r>
        <w:rPr>
          <w:sz w:val="25"/>
          <w:szCs w:val="25"/>
        </w:rPr>
        <w:t>-  акт выполненных работ (оказанных услуг), акт приема-передачи;</w:t>
      </w:r>
    </w:p>
    <w:p w14:paraId="7C08AC5C">
      <w:pPr>
        <w:pStyle w:val="20"/>
        <w:ind w:firstLine="567"/>
        <w:jc w:val="both"/>
        <w:rPr>
          <w:sz w:val="25"/>
          <w:szCs w:val="25"/>
        </w:rPr>
      </w:pPr>
      <w:r>
        <w:rPr>
          <w:sz w:val="25"/>
          <w:szCs w:val="25"/>
        </w:rPr>
        <w:t>-  авансовый отчет;</w:t>
      </w:r>
    </w:p>
    <w:p w14:paraId="11112590">
      <w:pPr>
        <w:pStyle w:val="20"/>
        <w:ind w:firstLine="567"/>
        <w:jc w:val="both"/>
        <w:rPr>
          <w:sz w:val="25"/>
          <w:szCs w:val="25"/>
        </w:rPr>
      </w:pPr>
      <w:r>
        <w:rPr>
          <w:sz w:val="25"/>
          <w:szCs w:val="25"/>
        </w:rPr>
        <w:t>- налоговая декларация, налоговый расчет (расчет авансовых платежей), расчет                        по страховым взносам, решение налогового органа о взыскании налога, сбора, пеней                   и штрафов;</w:t>
      </w:r>
    </w:p>
    <w:p w14:paraId="0BF70795">
      <w:pPr>
        <w:pStyle w:val="20"/>
        <w:ind w:firstLine="567"/>
        <w:jc w:val="both"/>
        <w:rPr>
          <w:sz w:val="25"/>
          <w:szCs w:val="25"/>
        </w:rPr>
      </w:pPr>
      <w:r>
        <w:rPr>
          <w:sz w:val="25"/>
          <w:szCs w:val="25"/>
        </w:rPr>
        <w:t>- исполнительный лист, судебный приказ;</w:t>
      </w:r>
    </w:p>
    <w:p w14:paraId="02056F58">
      <w:pPr>
        <w:pStyle w:val="20"/>
        <w:ind w:firstLine="567"/>
        <w:jc w:val="both"/>
        <w:rPr>
          <w:sz w:val="25"/>
          <w:szCs w:val="25"/>
        </w:rPr>
      </w:pPr>
      <w:r>
        <w:rPr>
          <w:sz w:val="25"/>
          <w:szCs w:val="25"/>
        </w:rPr>
        <w:t>- бухгалтерская справка (ф. 0504833);</w:t>
      </w:r>
    </w:p>
    <w:p w14:paraId="7EE9FA4E">
      <w:pPr>
        <w:pStyle w:val="20"/>
        <w:ind w:firstLine="567"/>
        <w:jc w:val="both"/>
        <w:rPr>
          <w:sz w:val="25"/>
          <w:szCs w:val="25"/>
        </w:rPr>
      </w:pPr>
      <w:r>
        <w:rPr>
          <w:sz w:val="25"/>
          <w:szCs w:val="25"/>
        </w:rPr>
        <w:t xml:space="preserve"> - иной документ, подтверждающий возникновение денежного обязательства                     по обязательству.</w:t>
      </w:r>
    </w:p>
    <w:p w14:paraId="478619F9">
      <w:pPr>
        <w:pStyle w:val="20"/>
        <w:ind w:firstLine="567"/>
        <w:jc w:val="both"/>
        <w:rPr>
          <w:sz w:val="25"/>
          <w:szCs w:val="25"/>
        </w:rPr>
      </w:pPr>
      <w:r>
        <w:rPr>
          <w:sz w:val="25"/>
          <w:szCs w:val="25"/>
        </w:rPr>
        <w:t xml:space="preserve">     (Основание: п. 318 Инструкции № 157н)</w:t>
      </w:r>
    </w:p>
    <w:p w14:paraId="0BB3111D">
      <w:pPr>
        <w:pStyle w:val="20"/>
        <w:ind w:firstLine="567"/>
        <w:jc w:val="both"/>
        <w:rPr>
          <w:sz w:val="25"/>
          <w:szCs w:val="25"/>
        </w:rPr>
      </w:pPr>
      <w:r>
        <w:rPr>
          <w:sz w:val="25"/>
          <w:szCs w:val="25"/>
        </w:rPr>
        <w:t>12.6. Принятые бюджетные обязательства отражаются в бюджетном учете                             в соответствии с присвоенными бюджетными обязательствами в казначействе:</w:t>
      </w:r>
    </w:p>
    <w:p w14:paraId="3C4132E3">
      <w:pPr>
        <w:pStyle w:val="20"/>
        <w:ind w:firstLine="567"/>
        <w:jc w:val="both"/>
        <w:rPr>
          <w:sz w:val="25"/>
          <w:szCs w:val="25"/>
        </w:rPr>
      </w:pPr>
      <w:r>
        <w:rPr>
          <w:sz w:val="25"/>
          <w:szCs w:val="25"/>
        </w:rPr>
        <w:t xml:space="preserve">     - по заключенным договорам на поставку продукции, выполнение работ, оказание услуг, при поступлении договорной документации бухгалтерию в размере стоимости государственного контракта, при наличии следующих документов:</w:t>
      </w:r>
    </w:p>
    <w:p w14:paraId="7728BF7D">
      <w:pPr>
        <w:pStyle w:val="20"/>
        <w:ind w:firstLine="567"/>
        <w:jc w:val="both"/>
        <w:rPr>
          <w:sz w:val="25"/>
          <w:szCs w:val="25"/>
        </w:rPr>
      </w:pPr>
      <w:r>
        <w:rPr>
          <w:sz w:val="25"/>
          <w:szCs w:val="25"/>
        </w:rPr>
        <w:t>- первичный документ: заключенный контракт (договор);</w:t>
      </w:r>
    </w:p>
    <w:p w14:paraId="48C939B1">
      <w:pPr>
        <w:pStyle w:val="20"/>
        <w:ind w:firstLine="567"/>
        <w:jc w:val="both"/>
        <w:rPr>
          <w:sz w:val="25"/>
          <w:szCs w:val="25"/>
        </w:rPr>
      </w:pPr>
      <w:r>
        <w:rPr>
          <w:sz w:val="25"/>
          <w:szCs w:val="25"/>
        </w:rPr>
        <w:t>- дата обязательства: дата заключения договора (или первый рабочий день текущего года (если договор был подписан в конце предыдущего года) или дата начала действия договора, если эта дата указана в договоре);</w:t>
      </w:r>
    </w:p>
    <w:p w14:paraId="27FDC6E1">
      <w:pPr>
        <w:pStyle w:val="20"/>
        <w:ind w:firstLine="567"/>
        <w:jc w:val="both"/>
        <w:rPr>
          <w:sz w:val="25"/>
          <w:szCs w:val="25"/>
        </w:rPr>
      </w:pPr>
      <w:r>
        <w:rPr>
          <w:sz w:val="25"/>
          <w:szCs w:val="25"/>
        </w:rPr>
        <w:t>- сумма принятого бюджетного обязательства: соответствует сумме договора;</w:t>
      </w:r>
    </w:p>
    <w:p w14:paraId="2BA6EFC9">
      <w:pPr>
        <w:pStyle w:val="20"/>
        <w:ind w:firstLine="567"/>
        <w:jc w:val="both"/>
        <w:rPr>
          <w:sz w:val="25"/>
          <w:szCs w:val="25"/>
        </w:rPr>
      </w:pPr>
      <w:r>
        <w:rPr>
          <w:sz w:val="25"/>
          <w:szCs w:val="25"/>
        </w:rPr>
        <w:t>- порядок изменения суммы принятого обязательства: изменение суммы принятого обязательства возможно лишь в случае заключения дополнительного соглашения к договору, изменяющему сумму договора. Сумма принятого обязательства                           по договору (с учетом дополнительного соглашения) корректируется датой заключения дополнительного соглашения к договору.</w:t>
      </w:r>
    </w:p>
    <w:p w14:paraId="4A7C947A">
      <w:pPr>
        <w:pStyle w:val="20"/>
        <w:ind w:firstLine="567"/>
        <w:jc w:val="both"/>
        <w:rPr>
          <w:sz w:val="25"/>
          <w:szCs w:val="25"/>
        </w:rPr>
      </w:pPr>
      <w:r>
        <w:rPr>
          <w:sz w:val="25"/>
          <w:szCs w:val="25"/>
        </w:rPr>
        <w:t>12.7. Документы, подтверждающие принятие (возникновение) обязательств:</w:t>
      </w:r>
    </w:p>
    <w:p w14:paraId="4B671779">
      <w:pPr>
        <w:pStyle w:val="20"/>
        <w:ind w:firstLine="567"/>
        <w:jc w:val="both"/>
        <w:rPr>
          <w:sz w:val="25"/>
          <w:szCs w:val="25"/>
        </w:rPr>
      </w:pPr>
      <w:r>
        <w:rPr>
          <w:sz w:val="25"/>
          <w:szCs w:val="25"/>
        </w:rPr>
        <w:t xml:space="preserve">     - приказ об утверждении штатного расписания с расчетом годового фонда оплаты труда;</w:t>
      </w:r>
    </w:p>
    <w:p w14:paraId="58EE1F88">
      <w:pPr>
        <w:pStyle w:val="20"/>
        <w:ind w:firstLine="567"/>
        <w:jc w:val="both"/>
        <w:rPr>
          <w:sz w:val="25"/>
          <w:szCs w:val="25"/>
        </w:rPr>
      </w:pPr>
      <w:r>
        <w:rPr>
          <w:sz w:val="25"/>
          <w:szCs w:val="25"/>
        </w:rPr>
        <w:t xml:space="preserve">     - гражданско-правовой договор с юридическим или физическим лицом                               на выполнение работ, оказание услуг, поставку материальных ценностей;</w:t>
      </w:r>
    </w:p>
    <w:p w14:paraId="290C421C">
      <w:pPr>
        <w:pStyle w:val="20"/>
        <w:ind w:firstLine="567"/>
        <w:jc w:val="both"/>
        <w:rPr>
          <w:sz w:val="25"/>
          <w:szCs w:val="25"/>
        </w:rPr>
      </w:pPr>
      <w:r>
        <w:rPr>
          <w:sz w:val="25"/>
          <w:szCs w:val="25"/>
        </w:rPr>
        <w:t xml:space="preserve">     -  согласованный руководителем авансовый отчет;</w:t>
      </w:r>
    </w:p>
    <w:p w14:paraId="6C3756FE">
      <w:pPr>
        <w:pStyle w:val="20"/>
        <w:ind w:firstLine="567"/>
        <w:jc w:val="both"/>
        <w:rPr>
          <w:sz w:val="25"/>
          <w:szCs w:val="25"/>
        </w:rPr>
      </w:pPr>
      <w:r>
        <w:rPr>
          <w:sz w:val="25"/>
          <w:szCs w:val="25"/>
        </w:rPr>
        <w:t xml:space="preserve">     - налоговая декларация, налоговый расчет (расчет авансовых платежей), расчет                   по страховым взносам, решение налогового органа о взыскании налога, сбора, пеней               и штрафов;</w:t>
      </w:r>
    </w:p>
    <w:p w14:paraId="07516015">
      <w:pPr>
        <w:pStyle w:val="20"/>
        <w:ind w:firstLine="567"/>
        <w:jc w:val="both"/>
        <w:rPr>
          <w:sz w:val="25"/>
          <w:szCs w:val="25"/>
        </w:rPr>
      </w:pPr>
      <w:r>
        <w:rPr>
          <w:sz w:val="25"/>
          <w:szCs w:val="25"/>
        </w:rPr>
        <w:t xml:space="preserve">     -  исполнительный лист, судебный приказ;</w:t>
      </w:r>
    </w:p>
    <w:p w14:paraId="5FE5E86C">
      <w:pPr>
        <w:pStyle w:val="20"/>
        <w:ind w:firstLine="567"/>
        <w:jc w:val="both"/>
        <w:rPr>
          <w:sz w:val="25"/>
          <w:szCs w:val="25"/>
        </w:rPr>
      </w:pPr>
      <w:r>
        <w:rPr>
          <w:sz w:val="25"/>
          <w:szCs w:val="25"/>
        </w:rPr>
        <w:t xml:space="preserve">     -  извещение об осуществлении закупки;</w:t>
      </w:r>
    </w:p>
    <w:p w14:paraId="302EB16E">
      <w:pPr>
        <w:pStyle w:val="20"/>
        <w:ind w:firstLine="567"/>
        <w:jc w:val="both"/>
        <w:rPr>
          <w:sz w:val="25"/>
          <w:szCs w:val="25"/>
        </w:rPr>
      </w:pPr>
      <w:r>
        <w:rPr>
          <w:sz w:val="25"/>
          <w:szCs w:val="25"/>
        </w:rPr>
        <w:t xml:space="preserve">     -  иной документ, в соответствии с которым возникает обязательство. </w:t>
      </w:r>
    </w:p>
    <w:p w14:paraId="2AB4CBF1">
      <w:pPr>
        <w:pStyle w:val="20"/>
        <w:ind w:firstLine="567"/>
        <w:jc w:val="both"/>
        <w:rPr>
          <w:sz w:val="25"/>
          <w:szCs w:val="25"/>
        </w:rPr>
      </w:pPr>
      <w:r>
        <w:rPr>
          <w:sz w:val="25"/>
          <w:szCs w:val="25"/>
        </w:rPr>
        <w:t xml:space="preserve">     (Основание: п. 318 Инструкции № 157н).</w:t>
      </w:r>
    </w:p>
    <w:p w14:paraId="0502A3B3">
      <w:pPr>
        <w:pStyle w:val="20"/>
        <w:ind w:firstLine="567"/>
        <w:jc w:val="both"/>
        <w:rPr>
          <w:sz w:val="25"/>
          <w:szCs w:val="25"/>
        </w:rPr>
      </w:pPr>
      <w:r>
        <w:rPr>
          <w:sz w:val="25"/>
          <w:szCs w:val="25"/>
        </w:rPr>
        <w:t>Если в соответствии с условиями договора купли продажи, поставки, подряда, аренды и т.п. предполагается оплата из нескольких источников, то принимаются отдельные обязательства по каждому источнику в соответствующей сумме.</w:t>
      </w:r>
    </w:p>
    <w:p w14:paraId="57F860E3">
      <w:pPr>
        <w:pStyle w:val="20"/>
        <w:ind w:firstLine="567"/>
        <w:jc w:val="both"/>
        <w:rPr>
          <w:sz w:val="25"/>
          <w:szCs w:val="25"/>
        </w:rPr>
      </w:pPr>
      <w:r>
        <w:rPr>
          <w:sz w:val="25"/>
          <w:szCs w:val="25"/>
        </w:rPr>
        <w:t>12.8. В зависимости от содержащихся в заключенном договоре условий о порядке оплаты денежные обязательства принимаются следующим образом:</w:t>
      </w:r>
    </w:p>
    <w:p w14:paraId="1B39A302">
      <w:pPr>
        <w:pStyle w:val="20"/>
        <w:ind w:firstLine="567"/>
        <w:jc w:val="both"/>
        <w:rPr>
          <w:sz w:val="25"/>
          <w:szCs w:val="25"/>
        </w:rPr>
      </w:pPr>
      <w:r>
        <w:rPr>
          <w:sz w:val="25"/>
          <w:szCs w:val="25"/>
        </w:rPr>
        <w:t xml:space="preserve">     - если условиями договора предусмотрена предоплата в полном объеме, то денежное обязательство принимается в сумме, соответствующей сумме по договору;</w:t>
      </w:r>
    </w:p>
    <w:p w14:paraId="337F4A7D">
      <w:pPr>
        <w:pStyle w:val="20"/>
        <w:ind w:firstLine="567"/>
        <w:jc w:val="both"/>
        <w:rPr>
          <w:sz w:val="25"/>
          <w:szCs w:val="25"/>
        </w:rPr>
      </w:pPr>
      <w:r>
        <w:rPr>
          <w:sz w:val="25"/>
          <w:szCs w:val="25"/>
        </w:rPr>
        <w:t xml:space="preserve">     - если условиями договора предусмотрена оплата по факту поставки товаров (выполнения работ, оказания услуг), то денежное обязательство принимается                            на основании документа поставки (акта выполненных работ, акта об оказании услуг, товарной накладной и т.д.) в сумме, соответствующей сумме документа поставки;</w:t>
      </w:r>
    </w:p>
    <w:p w14:paraId="6DA80F25">
      <w:pPr>
        <w:pStyle w:val="20"/>
        <w:ind w:firstLine="567"/>
        <w:jc w:val="both"/>
        <w:rPr>
          <w:sz w:val="25"/>
          <w:szCs w:val="25"/>
        </w:rPr>
      </w:pPr>
      <w:r>
        <w:rPr>
          <w:sz w:val="25"/>
          <w:szCs w:val="25"/>
        </w:rPr>
        <w:t xml:space="preserve">     - если условиями договора предусмотрены аванс и окончательная оплата по факту поставки товаров (выполнения работ, оказания услуг), то могут приниматься два денежных обязательства:</w:t>
      </w:r>
    </w:p>
    <w:p w14:paraId="1F9803C6">
      <w:pPr>
        <w:pStyle w:val="20"/>
        <w:ind w:firstLine="567"/>
        <w:jc w:val="both"/>
        <w:rPr>
          <w:sz w:val="25"/>
          <w:szCs w:val="25"/>
        </w:rPr>
      </w:pPr>
      <w:r>
        <w:rPr>
          <w:sz w:val="25"/>
          <w:szCs w:val="25"/>
        </w:rPr>
        <w:t xml:space="preserve">     а) первое – на основании заключенного договора в сумме, соответствующей размеру аванса по договору;</w:t>
      </w:r>
    </w:p>
    <w:p w14:paraId="7341CAA1">
      <w:pPr>
        <w:pStyle w:val="20"/>
        <w:ind w:firstLine="567"/>
        <w:jc w:val="both"/>
        <w:rPr>
          <w:sz w:val="25"/>
          <w:szCs w:val="25"/>
        </w:rPr>
      </w:pPr>
      <w:r>
        <w:rPr>
          <w:sz w:val="25"/>
          <w:szCs w:val="25"/>
        </w:rPr>
        <w:t xml:space="preserve">     б) второе - на основании документа поставки (акта выполненных работ, акта                         об оказании услуг, товарной накладной и т.д.) в объеме разницы между суммой                    по документу поставки и произведенным авансом;</w:t>
      </w:r>
    </w:p>
    <w:p w14:paraId="3BF824A5">
      <w:pPr>
        <w:pStyle w:val="20"/>
        <w:ind w:firstLine="567"/>
        <w:jc w:val="both"/>
        <w:rPr>
          <w:sz w:val="25"/>
          <w:szCs w:val="25"/>
        </w:rPr>
      </w:pPr>
      <w:r>
        <w:rPr>
          <w:sz w:val="25"/>
          <w:szCs w:val="25"/>
        </w:rPr>
        <w:t xml:space="preserve">     в) если условиями договора предусмотрено многократное осуществление поставок в период действия договора, то принимаются несколько отдельных денежных обязательств на основании документов поставки (акта выполненных работ, акта                   об оказании услуг, товарной накладной и т.д.) в сумме, соответствующей сумме документа поставки;</w:t>
      </w:r>
    </w:p>
    <w:p w14:paraId="4FDA3E6B">
      <w:pPr>
        <w:pStyle w:val="20"/>
        <w:ind w:firstLine="567"/>
        <w:jc w:val="both"/>
        <w:rPr>
          <w:sz w:val="25"/>
          <w:szCs w:val="25"/>
        </w:rPr>
      </w:pPr>
      <w:r>
        <w:rPr>
          <w:sz w:val="25"/>
          <w:szCs w:val="25"/>
        </w:rPr>
        <w:t xml:space="preserve">     г) если условиями договора предусмотрена регулярная периодическая оплата (график платежей с указанием сроков и сумм), то принимаются несколько отдельных денежных обязательств в размере и в сроки, указанные в договоре.</w:t>
      </w:r>
    </w:p>
    <w:p w14:paraId="245B7376">
      <w:pPr>
        <w:pStyle w:val="20"/>
        <w:ind w:firstLine="567"/>
        <w:jc w:val="both"/>
        <w:rPr>
          <w:sz w:val="25"/>
          <w:szCs w:val="25"/>
        </w:rPr>
      </w:pPr>
      <w:r>
        <w:rPr>
          <w:sz w:val="25"/>
          <w:szCs w:val="25"/>
        </w:rPr>
        <w:t xml:space="preserve">     - при начислении оплаты труда, пособий, иных выплат по дате утверждения документа о начислении (расчетные ведомости, расчетные листы, приказы и т.д.)                    в размере сумм, начисленных в пользу работников;</w:t>
      </w:r>
    </w:p>
    <w:p w14:paraId="7C6A7022">
      <w:pPr>
        <w:pStyle w:val="20"/>
        <w:ind w:firstLine="567"/>
        <w:jc w:val="both"/>
        <w:rPr>
          <w:sz w:val="25"/>
          <w:szCs w:val="25"/>
        </w:rPr>
      </w:pPr>
      <w:r>
        <w:rPr>
          <w:sz w:val="25"/>
          <w:szCs w:val="25"/>
        </w:rPr>
        <w:t xml:space="preserve">     - при начислении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страховых взносов на обязательное страхование от несчастных случаев на производстве                            и профессиональных заболеваний – ежемесячно в последний день месяца в размере начисленных к уплате по принадлежности обязательных платежей;</w:t>
      </w:r>
    </w:p>
    <w:p w14:paraId="162EA178">
      <w:pPr>
        <w:pStyle w:val="20"/>
        <w:ind w:firstLine="567"/>
        <w:jc w:val="both"/>
        <w:rPr>
          <w:sz w:val="25"/>
          <w:szCs w:val="25"/>
        </w:rPr>
      </w:pPr>
      <w:r>
        <w:rPr>
          <w:sz w:val="25"/>
          <w:szCs w:val="25"/>
        </w:rPr>
        <w:t xml:space="preserve">     - при расчетах с подотчетными лицами на основании утвержденных письменных заявлений получателя аванса с дальнейшей корректировкой на суммы произведенных расходов по принятому и утвержденному авансовому отчету;</w:t>
      </w:r>
    </w:p>
    <w:p w14:paraId="7C98B904">
      <w:pPr>
        <w:pStyle w:val="20"/>
        <w:ind w:firstLine="567"/>
        <w:jc w:val="both"/>
        <w:rPr>
          <w:sz w:val="25"/>
          <w:szCs w:val="25"/>
        </w:rPr>
      </w:pPr>
      <w:r>
        <w:rPr>
          <w:sz w:val="25"/>
          <w:szCs w:val="25"/>
        </w:rPr>
        <w:t xml:space="preserve">   - при поступлении документов, корректирующих стоимость отраженных расходов, затрат, – проводятся соответствующие корректировочные записи по операциям санкционирования;</w:t>
      </w:r>
    </w:p>
    <w:p w14:paraId="27F7EA63">
      <w:pPr>
        <w:pStyle w:val="20"/>
        <w:ind w:firstLine="567"/>
        <w:jc w:val="both"/>
        <w:rPr>
          <w:sz w:val="25"/>
          <w:szCs w:val="25"/>
        </w:rPr>
      </w:pPr>
      <w:r>
        <w:rPr>
          <w:sz w:val="25"/>
          <w:szCs w:val="25"/>
        </w:rPr>
        <w:t xml:space="preserve">     - при погашении кредиторской задолженности, образованной на начало года при заключении дополнительного соглашения к государственному контракту;</w:t>
      </w:r>
    </w:p>
    <w:p w14:paraId="175BD12B">
      <w:pPr>
        <w:pStyle w:val="20"/>
        <w:ind w:firstLine="567"/>
        <w:jc w:val="both"/>
        <w:rPr>
          <w:sz w:val="25"/>
          <w:szCs w:val="25"/>
        </w:rPr>
      </w:pPr>
      <w:r>
        <w:rPr>
          <w:sz w:val="25"/>
          <w:szCs w:val="25"/>
        </w:rPr>
        <w:t>Если кредиторская задолженность перед поставщиками, подрядчиками, подотчетными лицами, а также по платежам в бюджет образовалась в предыдущем году при принятии обязательств в счет объема прав на принятие обязательств текущего года (в соответствии с письмом Минфина России от 14 апреля 2011года № 02-06-10/1371), то в первый рабочий день текущего года показатели по счетам учета принятых обязательств переносятся на счета текущего года (Основание: п. 312 Инструкции №157н). Согласно письма Минфина России от 21 января 2012 года № 02-06-07/155 бюджетные обязательства, принятые на основании государственных контрактов (договоров), отражаются в учете в сумме этих контрактов (договоров), в т.ч. неисполненных по итогам прошлых лет. По частично исполненным государственным контрактам (договорам) прошлых лет бюджетное обязательство отражается в учете в полной сумме контракта (договора) в следующем порядке:</w:t>
      </w:r>
    </w:p>
    <w:p w14:paraId="14610294">
      <w:pPr>
        <w:pStyle w:val="20"/>
        <w:ind w:firstLine="567"/>
        <w:jc w:val="both"/>
        <w:rPr>
          <w:sz w:val="25"/>
          <w:szCs w:val="25"/>
        </w:rPr>
      </w:pPr>
      <w:r>
        <w:rPr>
          <w:sz w:val="25"/>
          <w:szCs w:val="25"/>
        </w:rPr>
        <w:t>- первичный документ: акт инвентаризации расчетов по состоянию на 1 января текущего года;</w:t>
      </w:r>
    </w:p>
    <w:p w14:paraId="266D40D4">
      <w:pPr>
        <w:pStyle w:val="20"/>
        <w:ind w:firstLine="567"/>
        <w:jc w:val="both"/>
        <w:rPr>
          <w:sz w:val="25"/>
          <w:szCs w:val="25"/>
        </w:rPr>
      </w:pPr>
      <w:r>
        <w:rPr>
          <w:sz w:val="25"/>
          <w:szCs w:val="25"/>
        </w:rPr>
        <w:t>- принимаются отдельные обязательства по каждому контрагенту (подотчетному лицу, виду платежа в бюджет) в соответствии с номером счета, на котором числится кредиторская задолженность.</w:t>
      </w:r>
    </w:p>
    <w:p w14:paraId="40E5B7B9">
      <w:pPr>
        <w:pStyle w:val="20"/>
        <w:ind w:firstLine="567"/>
        <w:jc w:val="both"/>
        <w:rPr>
          <w:sz w:val="25"/>
          <w:szCs w:val="25"/>
        </w:rPr>
      </w:pPr>
      <w:r>
        <w:rPr>
          <w:sz w:val="25"/>
          <w:szCs w:val="25"/>
        </w:rPr>
        <w:t>Возврат платежа относится к тем же принятому бюджетному и денежному обязательствам, во исполнение которых платеж был произведен. При этом:</w:t>
      </w:r>
    </w:p>
    <w:p w14:paraId="5B652A84">
      <w:pPr>
        <w:pStyle w:val="20"/>
        <w:ind w:firstLine="567"/>
        <w:jc w:val="both"/>
        <w:rPr>
          <w:sz w:val="25"/>
          <w:szCs w:val="25"/>
        </w:rPr>
      </w:pPr>
      <w:r>
        <w:rPr>
          <w:sz w:val="25"/>
          <w:szCs w:val="25"/>
        </w:rPr>
        <w:t xml:space="preserve"> 1) если возврат произошел по причине документально подтвержденного прекращения соответствующего обязательства или уменьшения его суммы, производится сторнирование ранее отраженных сумм принятого и денежного обязательств;</w:t>
      </w:r>
    </w:p>
    <w:p w14:paraId="5AA9F82E">
      <w:pPr>
        <w:pStyle w:val="20"/>
        <w:ind w:firstLine="567"/>
        <w:jc w:val="both"/>
        <w:rPr>
          <w:sz w:val="25"/>
          <w:szCs w:val="25"/>
        </w:rPr>
      </w:pPr>
      <w:r>
        <w:rPr>
          <w:sz w:val="25"/>
          <w:szCs w:val="25"/>
        </w:rPr>
        <w:t>2) если возврат произошел по причине неправильно указанных реквизитов получателя или иной причине, не связанной с прекращением или уменьшением суммы обязательства, суммы соответствующих обязательств не изменяются, последующий платеж производится аналогичным образом.</w:t>
      </w:r>
    </w:p>
    <w:p w14:paraId="14BB42AD">
      <w:pPr>
        <w:pStyle w:val="20"/>
        <w:ind w:firstLine="567"/>
        <w:jc w:val="both"/>
        <w:rPr>
          <w:sz w:val="25"/>
          <w:szCs w:val="25"/>
        </w:rPr>
      </w:pPr>
      <w:r>
        <w:rPr>
          <w:sz w:val="25"/>
          <w:szCs w:val="25"/>
        </w:rPr>
        <w:t>По оплате штрафов, пеней, госпошлины, прочим налогам в момент оплаты платежного поручения.</w:t>
      </w:r>
    </w:p>
    <w:p w14:paraId="3CC8464E">
      <w:pPr>
        <w:pStyle w:val="20"/>
        <w:ind w:firstLine="567"/>
        <w:jc w:val="both"/>
        <w:rPr>
          <w:sz w:val="25"/>
          <w:szCs w:val="25"/>
        </w:rPr>
      </w:pPr>
      <w:r>
        <w:rPr>
          <w:sz w:val="25"/>
          <w:szCs w:val="25"/>
        </w:rPr>
        <w:t>Суммы предварительной оплаты при приобретении продукции, работ, услуг операциями санкционирования не отражаются, т.к. принятые бюджетные обязательства должны быть сформированы до осуществления кассовых расходов.</w:t>
      </w:r>
    </w:p>
    <w:p w14:paraId="40D321CD">
      <w:pPr>
        <w:pStyle w:val="20"/>
        <w:ind w:firstLine="567"/>
        <w:jc w:val="both"/>
        <w:rPr>
          <w:sz w:val="25"/>
          <w:szCs w:val="25"/>
        </w:rPr>
      </w:pPr>
      <w:r>
        <w:rPr>
          <w:sz w:val="25"/>
          <w:szCs w:val="25"/>
        </w:rPr>
        <w:t> </w:t>
      </w:r>
    </w:p>
    <w:p w14:paraId="5405D206">
      <w:pPr>
        <w:pStyle w:val="20"/>
        <w:ind w:firstLine="567"/>
        <w:jc w:val="center"/>
        <w:rPr>
          <w:b/>
          <w:sz w:val="25"/>
          <w:szCs w:val="25"/>
        </w:rPr>
      </w:pPr>
      <w:r>
        <w:rPr>
          <w:b/>
          <w:sz w:val="25"/>
          <w:szCs w:val="25"/>
        </w:rPr>
        <w:t>14. Учет на забалансовых счетах</w:t>
      </w:r>
    </w:p>
    <w:p w14:paraId="0F86864D">
      <w:pPr>
        <w:pStyle w:val="20"/>
        <w:ind w:firstLine="567"/>
        <w:jc w:val="center"/>
        <w:rPr>
          <w:b/>
          <w:sz w:val="25"/>
          <w:szCs w:val="25"/>
        </w:rPr>
      </w:pPr>
    </w:p>
    <w:p w14:paraId="0257C5AB">
      <w:pPr>
        <w:pStyle w:val="20"/>
        <w:ind w:firstLine="567"/>
        <w:rPr>
          <w:bCs/>
          <w:iCs/>
          <w:sz w:val="25"/>
          <w:szCs w:val="25"/>
        </w:rPr>
      </w:pPr>
      <w:r>
        <w:rPr>
          <w:bCs/>
          <w:iCs/>
          <w:sz w:val="25"/>
          <w:szCs w:val="25"/>
        </w:rPr>
        <w:t>Администрация применяет забалансовые счета, утвержденные в Инструкции к Единому плану счетов № 157н.</w:t>
      </w:r>
      <w:r>
        <w:rPr>
          <w:bCs/>
          <w:iCs/>
          <w:sz w:val="25"/>
          <w:szCs w:val="25"/>
        </w:rPr>
        <w:br w:type="textWrapping"/>
      </w:r>
      <w:r>
        <w:rPr>
          <w:bCs/>
          <w:iCs/>
          <w:sz w:val="25"/>
          <w:szCs w:val="25"/>
        </w:rPr>
        <w:t>Основание: пункт 332 Инструкции к Единому плану счетов № 157н, пункт 19 СГС «Концептуальные основы бухучета и отчетности».</w:t>
      </w:r>
    </w:p>
    <w:p w14:paraId="56BDBF52">
      <w:pPr>
        <w:pStyle w:val="20"/>
        <w:ind w:firstLine="567"/>
        <w:rPr>
          <w:bCs/>
          <w:iCs/>
          <w:sz w:val="25"/>
          <w:szCs w:val="25"/>
        </w:rPr>
      </w:pPr>
    </w:p>
    <w:p w14:paraId="26B61959">
      <w:pPr>
        <w:pStyle w:val="20"/>
        <w:ind w:firstLine="567"/>
        <w:jc w:val="center"/>
        <w:rPr>
          <w:b/>
          <w:iCs/>
          <w:sz w:val="25"/>
          <w:szCs w:val="25"/>
        </w:rPr>
      </w:pPr>
      <w:r>
        <w:rPr>
          <w:b/>
          <w:iCs/>
          <w:sz w:val="25"/>
          <w:szCs w:val="25"/>
        </w:rPr>
        <w:t>14.1.  Счет 01</w:t>
      </w:r>
      <w:r>
        <w:rPr>
          <w:b/>
          <w:i/>
          <w:iCs/>
          <w:sz w:val="25"/>
          <w:szCs w:val="25"/>
        </w:rPr>
        <w:t xml:space="preserve"> «</w:t>
      </w:r>
      <w:r>
        <w:rPr>
          <w:b/>
          <w:iCs/>
          <w:sz w:val="25"/>
          <w:szCs w:val="25"/>
        </w:rPr>
        <w:t>Имущество, полученное в пользование»</w:t>
      </w:r>
    </w:p>
    <w:p w14:paraId="7412030B">
      <w:pPr>
        <w:pStyle w:val="20"/>
        <w:ind w:firstLine="567"/>
        <w:jc w:val="both"/>
        <w:rPr>
          <w:iCs/>
          <w:sz w:val="16"/>
          <w:szCs w:val="16"/>
        </w:rPr>
      </w:pPr>
    </w:p>
    <w:p w14:paraId="44678580">
      <w:pPr>
        <w:pStyle w:val="20"/>
        <w:ind w:firstLine="567"/>
        <w:jc w:val="both"/>
        <w:rPr>
          <w:sz w:val="25"/>
          <w:szCs w:val="25"/>
        </w:rPr>
      </w:pPr>
      <w:r>
        <w:rPr>
          <w:sz w:val="25"/>
          <w:szCs w:val="25"/>
        </w:rPr>
        <w:t>На забалансовом счете 01 «Имущество, полученное в пользование» учитывается: имущество, полученное в пользование, не являющееся объектом аренды (имущество казны и иное имущество, полученное на безвозмездной основе; имущество, которым по решению собственника (учредителя) пользуется аппарат (орган власти) при выполнении возложенных на него функций (полномочий), без закрепления права оперативного управления); имущество, полученное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 прав ограниченного пользования чужими земельными участками; неисключительные права пользования на результаты интеллектуальной деятельности; объекты, по которым сформированы капитальные вложения, но не получено право оперативного управления.</w:t>
      </w:r>
    </w:p>
    <w:p w14:paraId="1C58366C">
      <w:pPr>
        <w:pStyle w:val="20"/>
        <w:ind w:firstLine="567"/>
        <w:jc w:val="both"/>
        <w:rPr>
          <w:sz w:val="25"/>
          <w:szCs w:val="25"/>
        </w:rPr>
      </w:pPr>
      <w:r>
        <w:rPr>
          <w:sz w:val="25"/>
          <w:szCs w:val="25"/>
        </w:rPr>
        <w:t xml:space="preserve">Кроме того, на забалансовом счете 01 осуществляется учет полученного недвижимого имущества в течение времени оформления государственной регистрации прав на него (до момента принятия к учету недвижимого имущества) по стоимости, указанной передающей стороной (собственником). При отсутствии стоимости полученного имущества учет ведется в условной единице равной 1 рублю. </w:t>
      </w:r>
    </w:p>
    <w:p w14:paraId="46238989">
      <w:pPr>
        <w:pStyle w:val="20"/>
        <w:ind w:firstLine="567"/>
        <w:jc w:val="both"/>
        <w:rPr>
          <w:sz w:val="25"/>
          <w:szCs w:val="25"/>
        </w:rPr>
      </w:pPr>
      <w:r>
        <w:rPr>
          <w:sz w:val="25"/>
          <w:szCs w:val="25"/>
        </w:rPr>
        <w:t>Средства, полученные в пользование, принимаются к учету на счет 01 в оценке, указанной в договоре, на основании акта приема-передачи, другого документа, удостоверяющего факт передачи в пользование основных средств префектуре.</w:t>
      </w:r>
    </w:p>
    <w:p w14:paraId="445762B0">
      <w:pPr>
        <w:pStyle w:val="20"/>
        <w:ind w:firstLine="567"/>
        <w:jc w:val="both"/>
        <w:rPr>
          <w:sz w:val="25"/>
          <w:szCs w:val="25"/>
        </w:rPr>
      </w:pPr>
      <w:r>
        <w:rPr>
          <w:sz w:val="25"/>
          <w:szCs w:val="25"/>
        </w:rPr>
        <w:t>Передача используемого безвозмездно администрациям объекта нефинансовых активов иному пользователю отражается на основании акта приема-передачи    по забалансовому счету путем изменения материально ответственного лица, с одновременным отражением переданного объекта на соответствующем забалансовом счете 25 «Имущество, переданное в возмездное пользование (аренду)», счете 26 «Имущество, переданное в безвозмездное пользование».</w:t>
      </w:r>
    </w:p>
    <w:p w14:paraId="59822D4D">
      <w:pPr>
        <w:pStyle w:val="20"/>
        <w:ind w:firstLine="567"/>
        <w:jc w:val="both"/>
        <w:rPr>
          <w:sz w:val="25"/>
          <w:szCs w:val="25"/>
        </w:rPr>
      </w:pPr>
      <w:r>
        <w:rPr>
          <w:sz w:val="25"/>
          <w:szCs w:val="25"/>
        </w:rPr>
        <w:t>Выбытие объекта с забалансового учета при возврате имущества балансодержателю (собственнику), прекращении права пользования, принятии объекта к бухгалтерскому учету в составе нефинансовых активов отражается на основании акта приемки-передачи, подтверждающего принятие балансодержателем (собственником) объекта, по стоимости, по которой они ранее были приняты к забалансовому учету и отражается как уменьшение счета 01.</w:t>
      </w:r>
    </w:p>
    <w:p w14:paraId="699F297A">
      <w:pPr>
        <w:pStyle w:val="20"/>
        <w:ind w:firstLine="567"/>
        <w:jc w:val="both"/>
        <w:rPr>
          <w:sz w:val="25"/>
          <w:szCs w:val="25"/>
        </w:rPr>
      </w:pPr>
      <w:r>
        <w:rPr>
          <w:sz w:val="25"/>
          <w:szCs w:val="25"/>
        </w:rPr>
        <w:t>Аналитический учет по счету ведется по арендодателям по каждому объекту основных средств (по инвентарным номерам арендодателя).</w:t>
      </w:r>
    </w:p>
    <w:p w14:paraId="67C2D28C">
      <w:pPr>
        <w:pStyle w:val="20"/>
        <w:ind w:firstLine="567"/>
        <w:jc w:val="both"/>
        <w:rPr>
          <w:sz w:val="16"/>
          <w:szCs w:val="16"/>
        </w:rPr>
      </w:pPr>
    </w:p>
    <w:p w14:paraId="03DC4F52">
      <w:pPr>
        <w:pStyle w:val="20"/>
        <w:ind w:firstLine="567"/>
        <w:jc w:val="center"/>
        <w:rPr>
          <w:b/>
          <w:i/>
          <w:iCs/>
          <w:sz w:val="25"/>
          <w:szCs w:val="25"/>
        </w:rPr>
      </w:pPr>
      <w:r>
        <w:rPr>
          <w:b/>
          <w:iCs/>
          <w:sz w:val="25"/>
          <w:szCs w:val="25"/>
        </w:rPr>
        <w:t>14.2.   Счет 03 «Бланки строгой отчетности</w:t>
      </w:r>
      <w:r>
        <w:rPr>
          <w:b/>
          <w:i/>
          <w:iCs/>
          <w:sz w:val="25"/>
          <w:szCs w:val="25"/>
        </w:rPr>
        <w:t>»</w:t>
      </w:r>
    </w:p>
    <w:p w14:paraId="5F47A19A">
      <w:pPr>
        <w:pStyle w:val="20"/>
        <w:ind w:firstLine="567"/>
        <w:jc w:val="both"/>
        <w:rPr>
          <w:iCs/>
          <w:sz w:val="16"/>
          <w:szCs w:val="16"/>
        </w:rPr>
      </w:pPr>
    </w:p>
    <w:p w14:paraId="100907F5">
      <w:pPr>
        <w:pStyle w:val="20"/>
        <w:ind w:firstLine="567"/>
        <w:jc w:val="both"/>
        <w:rPr>
          <w:color w:val="FF0000"/>
          <w:sz w:val="25"/>
          <w:szCs w:val="25"/>
        </w:rPr>
      </w:pPr>
      <w:r>
        <w:rPr>
          <w:sz w:val="25"/>
          <w:szCs w:val="25"/>
        </w:rPr>
        <w:t>На этом счете учитываются находящиеся на хранении и выдаваемые под отчет бланки ценных бумаг:</w:t>
      </w:r>
      <w:r>
        <w:rPr>
          <w:color w:val="FF0000"/>
          <w:sz w:val="25"/>
          <w:szCs w:val="25"/>
        </w:rPr>
        <w:t xml:space="preserve"> </w:t>
      </w:r>
    </w:p>
    <w:p w14:paraId="75AE5A0C">
      <w:pPr>
        <w:pStyle w:val="20"/>
        <w:ind w:firstLine="567"/>
        <w:jc w:val="both"/>
        <w:rPr>
          <w:color w:val="000000"/>
          <w:sz w:val="25"/>
          <w:szCs w:val="25"/>
        </w:rPr>
      </w:pPr>
      <w:r>
        <w:rPr>
          <w:color w:val="000000"/>
          <w:sz w:val="25"/>
          <w:szCs w:val="25"/>
        </w:rPr>
        <w:t>- единые проездные билеты и проездные билеты на отдельные виды транспорта (транспортные карты).</w:t>
      </w:r>
    </w:p>
    <w:p w14:paraId="69FC99D3">
      <w:pPr>
        <w:pStyle w:val="20"/>
        <w:ind w:firstLine="567"/>
        <w:jc w:val="both"/>
        <w:rPr>
          <w:sz w:val="25"/>
          <w:szCs w:val="25"/>
        </w:rPr>
      </w:pPr>
      <w:r>
        <w:rPr>
          <w:sz w:val="25"/>
          <w:szCs w:val="25"/>
        </w:rPr>
        <w:t>- бланки трудовых книжек;</w:t>
      </w:r>
    </w:p>
    <w:p w14:paraId="2901E6D9">
      <w:pPr>
        <w:pStyle w:val="20"/>
        <w:ind w:firstLine="567"/>
        <w:jc w:val="both"/>
        <w:rPr>
          <w:sz w:val="25"/>
          <w:szCs w:val="25"/>
        </w:rPr>
      </w:pPr>
      <w:r>
        <w:rPr>
          <w:sz w:val="25"/>
          <w:szCs w:val="25"/>
        </w:rPr>
        <w:t xml:space="preserve">- вкладыши к трудовым книжкам. </w:t>
      </w:r>
    </w:p>
    <w:p w14:paraId="4D77B1BF">
      <w:pPr>
        <w:pStyle w:val="20"/>
        <w:ind w:firstLine="567"/>
        <w:jc w:val="both"/>
        <w:rPr>
          <w:sz w:val="25"/>
          <w:szCs w:val="25"/>
        </w:rPr>
      </w:pPr>
      <w:r>
        <w:rPr>
          <w:sz w:val="25"/>
          <w:szCs w:val="25"/>
        </w:rPr>
        <w:t>Бланки строгой отчетности учитываются в разрезе ответственных за их хранение   и (или) выдачу лиц в условной оценке: 1 рубль за 1 бланк.</w:t>
      </w:r>
    </w:p>
    <w:p w14:paraId="62219790">
      <w:pPr>
        <w:pStyle w:val="20"/>
        <w:ind w:firstLine="567"/>
        <w:jc w:val="both"/>
        <w:rPr>
          <w:sz w:val="25"/>
          <w:szCs w:val="25"/>
        </w:rPr>
      </w:pPr>
      <w:r>
        <w:rPr>
          <w:sz w:val="25"/>
          <w:szCs w:val="25"/>
        </w:rPr>
        <w:t>Внутренние перемещения бланков строгой отчетности отражаются                                     по забалансовому счету на основании оправдательных первичных документов путем изменения ответственного лица.</w:t>
      </w:r>
    </w:p>
    <w:p w14:paraId="0D44B73E">
      <w:pPr>
        <w:pStyle w:val="20"/>
        <w:ind w:firstLine="567"/>
        <w:jc w:val="both"/>
        <w:rPr>
          <w:sz w:val="25"/>
          <w:szCs w:val="25"/>
        </w:rPr>
      </w:pPr>
      <w:r>
        <w:rPr>
          <w:sz w:val="25"/>
          <w:szCs w:val="25"/>
        </w:rPr>
        <w:t>Передача и списание бланков производятся по стоимости, по которой бланки строгой отчетности были ранее приняты к учету (Основание: п. 337 Инструкции                   № 157н).</w:t>
      </w:r>
    </w:p>
    <w:p w14:paraId="1371DFF3">
      <w:pPr>
        <w:pStyle w:val="20"/>
        <w:ind w:firstLine="567"/>
        <w:jc w:val="both"/>
        <w:rPr>
          <w:sz w:val="25"/>
          <w:szCs w:val="25"/>
        </w:rPr>
      </w:pPr>
      <w:r>
        <w:rPr>
          <w:sz w:val="25"/>
          <w:szCs w:val="25"/>
        </w:rPr>
        <w:t>Списание израсходованных, а также испорченных бланков строгой отчетности производится по Акту о списании бланков строгой отчетности (форма 0504816).</w:t>
      </w:r>
    </w:p>
    <w:p w14:paraId="657ED433">
      <w:pPr>
        <w:pStyle w:val="20"/>
        <w:ind w:firstLine="567"/>
        <w:jc w:val="both"/>
        <w:rPr>
          <w:sz w:val="25"/>
          <w:szCs w:val="25"/>
        </w:rPr>
      </w:pPr>
      <w:r>
        <w:rPr>
          <w:sz w:val="25"/>
          <w:szCs w:val="25"/>
        </w:rPr>
        <w:t>Аналитический учет по счету ведется по каждому виду бланков строгой отчетности в разрезе ответственных за их хранение и (или) выдачу лиц в Книге по учету бланков строгой отчетности.</w:t>
      </w:r>
    </w:p>
    <w:p w14:paraId="06050F7A">
      <w:pPr>
        <w:pStyle w:val="20"/>
        <w:ind w:firstLine="567"/>
        <w:jc w:val="both"/>
        <w:rPr>
          <w:iCs/>
          <w:color w:val="FF0000"/>
          <w:sz w:val="16"/>
          <w:szCs w:val="16"/>
        </w:rPr>
      </w:pPr>
    </w:p>
    <w:p w14:paraId="4B922BF1">
      <w:pPr>
        <w:pStyle w:val="20"/>
        <w:ind w:firstLine="567"/>
        <w:jc w:val="center"/>
        <w:rPr>
          <w:b/>
          <w:sz w:val="25"/>
          <w:szCs w:val="25"/>
        </w:rPr>
      </w:pPr>
      <w:r>
        <w:rPr>
          <w:b/>
          <w:bCs/>
          <w:sz w:val="25"/>
          <w:szCs w:val="25"/>
        </w:rPr>
        <w:t>14.3.</w:t>
      </w:r>
      <w:r>
        <w:rPr>
          <w:b/>
          <w:sz w:val="25"/>
          <w:szCs w:val="25"/>
        </w:rPr>
        <w:t xml:space="preserve">   Счет 07 «Награды, призы, кубки и ценные подарки, сувениры»</w:t>
      </w:r>
    </w:p>
    <w:p w14:paraId="522597BA">
      <w:pPr>
        <w:pStyle w:val="20"/>
        <w:ind w:firstLine="567"/>
        <w:jc w:val="both"/>
        <w:rPr>
          <w:i/>
          <w:sz w:val="25"/>
          <w:szCs w:val="25"/>
        </w:rPr>
      </w:pPr>
    </w:p>
    <w:p w14:paraId="2952C074">
      <w:pPr>
        <w:pStyle w:val="20"/>
        <w:ind w:firstLine="567"/>
        <w:jc w:val="both"/>
        <w:rPr>
          <w:sz w:val="25"/>
          <w:szCs w:val="25"/>
        </w:rPr>
      </w:pPr>
      <w:r>
        <w:rPr>
          <w:sz w:val="25"/>
          <w:szCs w:val="25"/>
        </w:rPr>
        <w:t>На этом счете учитываются призы, кубки для награждения участников мероприятия, а также ценные подарки, сувениры, цветочная продукция и билеты, приобретенные администрацией. Призы, кубки учитываются в течение всего периода их нахождения в администрации.</w:t>
      </w:r>
    </w:p>
    <w:p w14:paraId="7922B110">
      <w:pPr>
        <w:pStyle w:val="20"/>
        <w:ind w:firstLine="567"/>
        <w:jc w:val="both"/>
        <w:rPr>
          <w:sz w:val="25"/>
          <w:szCs w:val="25"/>
        </w:rPr>
      </w:pPr>
      <w:r>
        <w:rPr>
          <w:sz w:val="25"/>
          <w:szCs w:val="25"/>
        </w:rPr>
        <w:t>Аналитический учет по счету ведется по каждому предмету и его стоимости                        в Карточке количественно-суммового учета материальных ценностей (ф.0504041).</w:t>
      </w:r>
    </w:p>
    <w:p w14:paraId="053A0CB5">
      <w:pPr>
        <w:pStyle w:val="20"/>
        <w:ind w:firstLine="567"/>
        <w:jc w:val="both"/>
        <w:rPr>
          <w:sz w:val="25"/>
          <w:szCs w:val="25"/>
        </w:rPr>
      </w:pPr>
      <w:r>
        <w:rPr>
          <w:sz w:val="25"/>
          <w:szCs w:val="25"/>
        </w:rPr>
        <w:t>Списание с балансового счета билетов осуществляется на основании акта о списании по стоимости приобретения в случае хранения данной продукции для последующего вручения на мероприятии.</w:t>
      </w:r>
    </w:p>
    <w:p w14:paraId="060781AF">
      <w:pPr>
        <w:pStyle w:val="20"/>
        <w:ind w:firstLine="567"/>
        <w:jc w:val="both"/>
        <w:rPr>
          <w:sz w:val="25"/>
          <w:szCs w:val="25"/>
        </w:rPr>
      </w:pPr>
      <w:r>
        <w:rPr>
          <w:sz w:val="25"/>
          <w:szCs w:val="25"/>
        </w:rPr>
        <w:t>Материальные ценности (сухой паек, иные продукты питания, заготовки, цветы и прочее), используемые сторонними организациями, при исполнении договора оказания услуг для проведения мероприятия - к учету не принимаются.</w:t>
      </w:r>
    </w:p>
    <w:p w14:paraId="16BF5269">
      <w:pPr>
        <w:pStyle w:val="20"/>
        <w:ind w:firstLine="567"/>
        <w:jc w:val="both"/>
        <w:rPr>
          <w:sz w:val="25"/>
          <w:szCs w:val="25"/>
        </w:rPr>
      </w:pPr>
      <w:r>
        <w:rPr>
          <w:sz w:val="25"/>
          <w:szCs w:val="25"/>
        </w:rPr>
        <w:tab/>
      </w:r>
    </w:p>
    <w:p w14:paraId="53D501F4">
      <w:pPr>
        <w:pStyle w:val="20"/>
        <w:ind w:firstLine="567"/>
        <w:jc w:val="both"/>
        <w:rPr>
          <w:sz w:val="25"/>
          <w:szCs w:val="25"/>
        </w:rPr>
      </w:pPr>
    </w:p>
    <w:p w14:paraId="57FB8F4B">
      <w:pPr>
        <w:pStyle w:val="20"/>
        <w:ind w:firstLine="567"/>
        <w:jc w:val="center"/>
        <w:rPr>
          <w:b/>
          <w:iCs/>
          <w:sz w:val="25"/>
          <w:szCs w:val="25"/>
        </w:rPr>
      </w:pPr>
      <w:r>
        <w:rPr>
          <w:b/>
          <w:iCs/>
          <w:sz w:val="25"/>
          <w:szCs w:val="25"/>
        </w:rPr>
        <w:t>14.4.   Счет 17 «Поступления денежных средств»</w:t>
      </w:r>
    </w:p>
    <w:p w14:paraId="607DFDB5">
      <w:pPr>
        <w:pStyle w:val="20"/>
        <w:ind w:firstLine="567"/>
        <w:jc w:val="center"/>
        <w:rPr>
          <w:b/>
          <w:iCs/>
          <w:sz w:val="25"/>
          <w:szCs w:val="25"/>
        </w:rPr>
      </w:pPr>
    </w:p>
    <w:p w14:paraId="28639085">
      <w:pPr>
        <w:pStyle w:val="20"/>
        <w:ind w:firstLine="567"/>
        <w:jc w:val="both"/>
        <w:rPr>
          <w:sz w:val="25"/>
          <w:szCs w:val="25"/>
        </w:rPr>
      </w:pPr>
      <w:r>
        <w:rPr>
          <w:sz w:val="25"/>
          <w:szCs w:val="25"/>
        </w:rPr>
        <w:t>На счете учитываются поступления денежных средств (за исключением поступлений от возвратов расходов текущего финансового года), возврат излишне полученных доходов (доходов от авансов) (за исключением возврата остатков неиспользованных им субсидий (грантов) прошлых лет) на лицевой счет, открытый органом финансовым органом, а также операции по возврату дебиторской задолженности по расходам прошлых лет.</w:t>
      </w:r>
    </w:p>
    <w:p w14:paraId="6A1D5673">
      <w:pPr>
        <w:pStyle w:val="20"/>
        <w:ind w:firstLine="567"/>
        <w:jc w:val="both"/>
        <w:rPr>
          <w:sz w:val="25"/>
          <w:szCs w:val="25"/>
        </w:rPr>
      </w:pPr>
      <w:r>
        <w:rPr>
          <w:sz w:val="25"/>
          <w:szCs w:val="25"/>
        </w:rPr>
        <w:t>По завершении текущего финансового года показатели (остатки) счета                                     на следующий финансовый год не переносятся.</w:t>
      </w:r>
    </w:p>
    <w:p w14:paraId="4E44EE12">
      <w:pPr>
        <w:pStyle w:val="20"/>
        <w:ind w:firstLine="567"/>
        <w:jc w:val="both"/>
        <w:rPr>
          <w:iCs/>
          <w:sz w:val="25"/>
          <w:szCs w:val="25"/>
        </w:rPr>
      </w:pPr>
    </w:p>
    <w:p w14:paraId="4CAAD90E">
      <w:pPr>
        <w:pStyle w:val="20"/>
        <w:ind w:firstLine="567"/>
        <w:jc w:val="center"/>
        <w:rPr>
          <w:b/>
          <w:iCs/>
          <w:sz w:val="25"/>
          <w:szCs w:val="25"/>
        </w:rPr>
      </w:pPr>
    </w:p>
    <w:p w14:paraId="5F14D66C">
      <w:pPr>
        <w:pStyle w:val="20"/>
        <w:ind w:firstLine="567"/>
        <w:jc w:val="center"/>
        <w:rPr>
          <w:b/>
          <w:iCs/>
          <w:sz w:val="25"/>
          <w:szCs w:val="25"/>
        </w:rPr>
      </w:pPr>
      <w:r>
        <w:rPr>
          <w:b/>
          <w:iCs/>
          <w:sz w:val="25"/>
          <w:szCs w:val="25"/>
        </w:rPr>
        <w:t>14.5.   Счет 18 «Выбытия денежных средств»</w:t>
      </w:r>
    </w:p>
    <w:p w14:paraId="135A116D">
      <w:pPr>
        <w:pStyle w:val="20"/>
        <w:ind w:firstLine="567"/>
        <w:jc w:val="both"/>
        <w:rPr>
          <w:sz w:val="25"/>
          <w:szCs w:val="25"/>
        </w:rPr>
      </w:pPr>
    </w:p>
    <w:p w14:paraId="5D5A4B54">
      <w:pPr>
        <w:pStyle w:val="20"/>
        <w:ind w:firstLine="567"/>
        <w:jc w:val="both"/>
        <w:rPr>
          <w:sz w:val="25"/>
          <w:szCs w:val="25"/>
        </w:rPr>
      </w:pPr>
      <w:r>
        <w:rPr>
          <w:sz w:val="25"/>
          <w:szCs w:val="25"/>
        </w:rPr>
        <w:t>На счете учитываются выплаты денежных средств, а также возвраты расходов (излишне произведенных перечислений) текущего года (восстановления выплат) с лицевого счета, открытого финансовым органом.</w:t>
      </w:r>
    </w:p>
    <w:p w14:paraId="78C5B0C1">
      <w:pPr>
        <w:pStyle w:val="20"/>
        <w:ind w:firstLine="567"/>
        <w:jc w:val="both"/>
        <w:rPr>
          <w:sz w:val="25"/>
          <w:szCs w:val="25"/>
        </w:rPr>
      </w:pPr>
      <w:r>
        <w:rPr>
          <w:sz w:val="25"/>
          <w:szCs w:val="25"/>
        </w:rPr>
        <w:t>По завершении текущего финансового года показатели (остатки) счета                                   по соответствующим видам выплат на следующий финансовый год не переносятся.</w:t>
      </w:r>
    </w:p>
    <w:p w14:paraId="05B4EC8C">
      <w:pPr>
        <w:pStyle w:val="20"/>
        <w:ind w:firstLine="567"/>
        <w:jc w:val="both"/>
        <w:rPr>
          <w:sz w:val="25"/>
          <w:szCs w:val="25"/>
        </w:rPr>
      </w:pPr>
    </w:p>
    <w:p w14:paraId="0904E77B">
      <w:pPr>
        <w:pStyle w:val="20"/>
        <w:ind w:firstLine="567"/>
        <w:jc w:val="both"/>
        <w:rPr>
          <w:i/>
          <w:iCs/>
          <w:sz w:val="25"/>
          <w:szCs w:val="25"/>
        </w:rPr>
      </w:pPr>
    </w:p>
    <w:p w14:paraId="52BA9969">
      <w:pPr>
        <w:pStyle w:val="20"/>
        <w:ind w:firstLine="567"/>
        <w:jc w:val="center"/>
        <w:rPr>
          <w:b/>
          <w:iCs/>
          <w:sz w:val="25"/>
          <w:szCs w:val="25"/>
        </w:rPr>
      </w:pPr>
      <w:r>
        <w:rPr>
          <w:b/>
          <w:iCs/>
          <w:sz w:val="25"/>
          <w:szCs w:val="25"/>
        </w:rPr>
        <w:t>14.6.   Счет 21 «Основные средства в эксплуатации»</w:t>
      </w:r>
    </w:p>
    <w:p w14:paraId="24D79EE3">
      <w:pPr>
        <w:pStyle w:val="20"/>
        <w:ind w:firstLine="567"/>
        <w:jc w:val="both"/>
        <w:rPr>
          <w:i/>
          <w:iCs/>
          <w:sz w:val="25"/>
          <w:szCs w:val="25"/>
          <w:highlight w:val="yellow"/>
        </w:rPr>
      </w:pPr>
    </w:p>
    <w:p w14:paraId="381BED20">
      <w:pPr>
        <w:pStyle w:val="20"/>
        <w:ind w:firstLine="567"/>
        <w:jc w:val="both"/>
        <w:rPr>
          <w:sz w:val="25"/>
          <w:szCs w:val="25"/>
        </w:rPr>
      </w:pPr>
      <w:r>
        <w:rPr>
          <w:sz w:val="25"/>
          <w:szCs w:val="25"/>
        </w:rPr>
        <w:t>Счет предназначен для учета основных средств стоимостью до 10000 руб., выданных в эксплуатацию в соответствии с п.373 Инструкции 157н. Учет ведется                     по балансовой стоимости введенного в эксплуатацию объекта</w:t>
      </w:r>
    </w:p>
    <w:p w14:paraId="07445A44">
      <w:pPr>
        <w:pStyle w:val="20"/>
        <w:ind w:firstLine="567"/>
        <w:jc w:val="both"/>
        <w:rPr>
          <w:sz w:val="25"/>
          <w:szCs w:val="25"/>
        </w:rPr>
      </w:pPr>
      <w:r>
        <w:rPr>
          <w:sz w:val="25"/>
          <w:szCs w:val="25"/>
        </w:rPr>
        <w:t>Внутреннее перемещение объектов основных средств отражается по забалансовому счету на основании Требования - накладной (Ф.0315006) путем изменения материально ответственного лица (МОЛ) и (или) места хранения.</w:t>
      </w:r>
    </w:p>
    <w:p w14:paraId="7502FEC9">
      <w:pPr>
        <w:pStyle w:val="20"/>
        <w:ind w:firstLine="567"/>
        <w:jc w:val="both"/>
        <w:rPr>
          <w:sz w:val="25"/>
          <w:szCs w:val="25"/>
        </w:rPr>
      </w:pPr>
      <w:r>
        <w:rPr>
          <w:sz w:val="25"/>
          <w:szCs w:val="25"/>
        </w:rPr>
        <w:t>Учет объектов ведется в инвентаризационной описи в разрезе МОЛ.</w:t>
      </w:r>
    </w:p>
    <w:p w14:paraId="3E708B15">
      <w:pPr>
        <w:pStyle w:val="20"/>
        <w:ind w:firstLine="567"/>
        <w:jc w:val="both"/>
        <w:rPr>
          <w:sz w:val="25"/>
          <w:szCs w:val="25"/>
        </w:rPr>
      </w:pPr>
      <w:r>
        <w:rPr>
          <w:sz w:val="25"/>
          <w:szCs w:val="25"/>
        </w:rPr>
        <w:t>Выбытие объектов основных средств с забалансового учета производится                             на основании следующих первичных документов:</w:t>
      </w:r>
    </w:p>
    <w:p w14:paraId="5D02EAE8">
      <w:pPr>
        <w:pStyle w:val="20"/>
        <w:ind w:firstLine="567"/>
        <w:jc w:val="both"/>
        <w:rPr>
          <w:sz w:val="25"/>
          <w:szCs w:val="25"/>
        </w:rPr>
      </w:pPr>
      <w:r>
        <w:rPr>
          <w:sz w:val="25"/>
          <w:szCs w:val="25"/>
        </w:rPr>
        <w:t xml:space="preserve">     - при порче, хищении, недостаче и (или) принятии решения об их списании (уничтожении) оформляется Акт о списании объекта нефинансовых активов (кроме автотранспортных средств) (Ф. 0504104), Акт о списании мягкого и хозяйственного инвентаря (Ф. 0504143) (в части однородных предметов хозяйственного инвентаря);</w:t>
      </w:r>
    </w:p>
    <w:p w14:paraId="0E20A8F1">
      <w:pPr>
        <w:pStyle w:val="20"/>
        <w:ind w:firstLine="567"/>
        <w:jc w:val="both"/>
        <w:rPr>
          <w:sz w:val="25"/>
          <w:szCs w:val="25"/>
        </w:rPr>
      </w:pPr>
      <w:r>
        <w:rPr>
          <w:sz w:val="25"/>
          <w:szCs w:val="25"/>
        </w:rPr>
        <w:t xml:space="preserve">     - при передаче объекта в другое администрация оформляется Акт о приеме-передаче объекта нефинансовых активов (Ф. 30504101). </w:t>
      </w:r>
    </w:p>
    <w:p w14:paraId="4359D510">
      <w:pPr>
        <w:pStyle w:val="20"/>
        <w:ind w:firstLine="567"/>
        <w:jc w:val="both"/>
        <w:rPr>
          <w:sz w:val="25"/>
          <w:szCs w:val="25"/>
        </w:rPr>
      </w:pPr>
      <w:r>
        <w:rPr>
          <w:sz w:val="25"/>
          <w:szCs w:val="25"/>
        </w:rPr>
        <w:t>Аналитический учет по счету ведется по видам нефинансовых активов, материально ответственным лицам и месту их нахождения в Карточке количественно-суммового учета материальных ценностей (ф.0504041) в количественном выражении.</w:t>
      </w:r>
    </w:p>
    <w:p w14:paraId="38CBB78A">
      <w:pPr>
        <w:pStyle w:val="20"/>
        <w:ind w:firstLine="567"/>
        <w:jc w:val="both"/>
        <w:rPr>
          <w:iCs/>
          <w:sz w:val="25"/>
          <w:szCs w:val="25"/>
        </w:rPr>
      </w:pPr>
      <w:r>
        <w:rPr>
          <w:iCs/>
          <w:sz w:val="25"/>
          <w:szCs w:val="25"/>
        </w:rPr>
        <w:t>в возмездное пользование по договорам операционной аренды, в части предоставленных прав пользования имуществом, переданных администрациям (органом исполнительной власти, осуществляющим полномочия собственника государственного (муниципального) имущества) в возмездное пользование (по договору аренды).</w:t>
      </w:r>
    </w:p>
    <w:p w14:paraId="254836A5">
      <w:pPr>
        <w:pStyle w:val="20"/>
        <w:ind w:firstLine="567"/>
        <w:jc w:val="both"/>
        <w:rPr>
          <w:iCs/>
          <w:sz w:val="25"/>
          <w:szCs w:val="25"/>
        </w:rPr>
      </w:pPr>
    </w:p>
    <w:p w14:paraId="552308B8">
      <w:pPr>
        <w:pStyle w:val="20"/>
        <w:ind w:firstLine="567"/>
        <w:jc w:val="center"/>
        <w:rPr>
          <w:b/>
          <w:sz w:val="25"/>
          <w:szCs w:val="25"/>
        </w:rPr>
      </w:pPr>
      <w:r>
        <w:rPr>
          <w:b/>
          <w:sz w:val="25"/>
          <w:szCs w:val="25"/>
        </w:rPr>
        <w:t>16. Порядок и сроки представления бюджетной и иной отчетности</w:t>
      </w:r>
    </w:p>
    <w:p w14:paraId="1F7B1963">
      <w:pPr>
        <w:pStyle w:val="20"/>
        <w:ind w:firstLine="567"/>
        <w:jc w:val="both"/>
        <w:rPr>
          <w:sz w:val="16"/>
          <w:szCs w:val="16"/>
        </w:rPr>
      </w:pPr>
    </w:p>
    <w:p w14:paraId="25EF146B">
      <w:pPr>
        <w:pStyle w:val="20"/>
        <w:ind w:firstLine="567"/>
        <w:jc w:val="both"/>
        <w:rPr>
          <w:sz w:val="25"/>
          <w:szCs w:val="25"/>
        </w:rPr>
      </w:pPr>
      <w:r>
        <w:rPr>
          <w:sz w:val="25"/>
          <w:szCs w:val="25"/>
        </w:rPr>
        <w:t>16.1. Администрация как бюджетополучатель составляет и представляет месячную, квартальную, годовую бюджетную отчетность в соответствии с приказом Минфина РФ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в сроки, устанавливаемыми приказами Департамента финансов города Москвы.</w:t>
      </w:r>
    </w:p>
    <w:p w14:paraId="26F38D50">
      <w:pPr>
        <w:pStyle w:val="20"/>
        <w:ind w:firstLine="567"/>
        <w:jc w:val="both"/>
        <w:rPr>
          <w:sz w:val="25"/>
          <w:szCs w:val="25"/>
        </w:rPr>
      </w:pPr>
      <w:r>
        <w:rPr>
          <w:sz w:val="25"/>
          <w:szCs w:val="25"/>
        </w:rPr>
        <w:t>Бюджетная отчетность формируется в соответствии с порядком установленным Федеральным стандартом бухгалтерского учета для организаций государственного сектора «Представление бухгалтерской (финансовой) отчетности» № 260н от 31.12.2016 и содержит следующую информацию:</w:t>
      </w:r>
    </w:p>
    <w:p w14:paraId="4F3CBE1D">
      <w:pPr>
        <w:pStyle w:val="20"/>
        <w:ind w:firstLine="567"/>
        <w:jc w:val="both"/>
        <w:rPr>
          <w:sz w:val="25"/>
          <w:szCs w:val="25"/>
        </w:rPr>
      </w:pPr>
      <w:r>
        <w:rPr>
          <w:sz w:val="25"/>
          <w:szCs w:val="25"/>
        </w:rPr>
        <w:t>а) об активах;</w:t>
      </w:r>
    </w:p>
    <w:p w14:paraId="7E0BD04B">
      <w:pPr>
        <w:pStyle w:val="20"/>
        <w:ind w:firstLine="567"/>
        <w:jc w:val="both"/>
        <w:rPr>
          <w:sz w:val="25"/>
          <w:szCs w:val="25"/>
        </w:rPr>
      </w:pPr>
      <w:r>
        <w:rPr>
          <w:sz w:val="25"/>
          <w:szCs w:val="25"/>
        </w:rPr>
        <w:t>б) об обязательствах;</w:t>
      </w:r>
    </w:p>
    <w:p w14:paraId="2BD63365">
      <w:pPr>
        <w:pStyle w:val="20"/>
        <w:ind w:firstLine="567"/>
        <w:jc w:val="both"/>
        <w:rPr>
          <w:sz w:val="25"/>
          <w:szCs w:val="25"/>
        </w:rPr>
      </w:pPr>
      <w:r>
        <w:rPr>
          <w:sz w:val="25"/>
          <w:szCs w:val="25"/>
        </w:rPr>
        <w:t>в) о доходах;</w:t>
      </w:r>
    </w:p>
    <w:p w14:paraId="7D3177AC">
      <w:pPr>
        <w:pStyle w:val="20"/>
        <w:ind w:firstLine="567"/>
        <w:jc w:val="both"/>
        <w:rPr>
          <w:sz w:val="25"/>
          <w:szCs w:val="25"/>
        </w:rPr>
      </w:pPr>
      <w:r>
        <w:rPr>
          <w:sz w:val="25"/>
          <w:szCs w:val="25"/>
        </w:rPr>
        <w:t>г) о расходах;</w:t>
      </w:r>
    </w:p>
    <w:p w14:paraId="7A6A7161">
      <w:pPr>
        <w:pStyle w:val="20"/>
        <w:ind w:firstLine="567"/>
        <w:jc w:val="both"/>
        <w:rPr>
          <w:sz w:val="25"/>
          <w:szCs w:val="25"/>
        </w:rPr>
      </w:pPr>
      <w:r>
        <w:rPr>
          <w:sz w:val="25"/>
          <w:szCs w:val="25"/>
        </w:rPr>
        <w:t>д) о движении денежных средств;</w:t>
      </w:r>
    </w:p>
    <w:p w14:paraId="0B15E264">
      <w:pPr>
        <w:pStyle w:val="20"/>
        <w:ind w:firstLine="567"/>
        <w:jc w:val="both"/>
        <w:rPr>
          <w:sz w:val="25"/>
          <w:szCs w:val="25"/>
        </w:rPr>
      </w:pPr>
      <w:r>
        <w:rPr>
          <w:sz w:val="25"/>
          <w:szCs w:val="25"/>
        </w:rPr>
        <w:t>е) дополнительную информацию, представляемую в качестве отдельных отчетов, формирующих бюджетную отчетность, в том числе Пояснительной записки                              к бюджетной отчетности или в составе Пояснений.</w:t>
      </w:r>
    </w:p>
    <w:p w14:paraId="01097966">
      <w:pPr>
        <w:pStyle w:val="20"/>
        <w:ind w:firstLine="567"/>
        <w:jc w:val="both"/>
        <w:rPr>
          <w:sz w:val="25"/>
          <w:szCs w:val="25"/>
        </w:rPr>
      </w:pPr>
      <w:r>
        <w:rPr>
          <w:sz w:val="25"/>
          <w:szCs w:val="25"/>
        </w:rPr>
        <w:t xml:space="preserve">Бюджетная отчетность формируется: </w:t>
      </w:r>
    </w:p>
    <w:p w14:paraId="13F83BC1">
      <w:pPr>
        <w:pStyle w:val="20"/>
        <w:ind w:firstLine="567"/>
        <w:jc w:val="both"/>
        <w:rPr>
          <w:sz w:val="25"/>
          <w:szCs w:val="25"/>
        </w:rPr>
      </w:pPr>
      <w:r>
        <w:rPr>
          <w:sz w:val="25"/>
          <w:szCs w:val="25"/>
        </w:rPr>
        <w:t>- на основе данных Главной книги и других регистров бюджетного учета, установленных законодательством Российской Федерации с обязательным проведением сверки оборотов и остатков по регистрам аналитического учета                              с оборотами и остатками по регистрам синтетического учета;</w:t>
      </w:r>
    </w:p>
    <w:p w14:paraId="54BD14F7">
      <w:pPr>
        <w:pStyle w:val="20"/>
        <w:ind w:firstLine="567"/>
        <w:jc w:val="both"/>
        <w:rPr>
          <w:sz w:val="25"/>
          <w:szCs w:val="25"/>
        </w:rPr>
      </w:pPr>
      <w:r>
        <w:rPr>
          <w:sz w:val="25"/>
          <w:szCs w:val="25"/>
        </w:rPr>
        <w:t xml:space="preserve">     - на основе плановых (прогнозных) и аналитических (управленческих) данных, сформированных в ходе осуществления своей деятельности;</w:t>
      </w:r>
    </w:p>
    <w:p w14:paraId="78700057">
      <w:pPr>
        <w:pStyle w:val="20"/>
        <w:ind w:firstLine="567"/>
        <w:jc w:val="both"/>
        <w:rPr>
          <w:sz w:val="25"/>
          <w:szCs w:val="25"/>
        </w:rPr>
      </w:pPr>
      <w:r>
        <w:rPr>
          <w:sz w:val="25"/>
          <w:szCs w:val="25"/>
        </w:rPr>
        <w:t xml:space="preserve">  - на основании показателей бюджетной отчетности, представленной получателями, распорядителями, главными распорядителями бюджетных средств, администраторами, главными администраторами доходов бюджета, обобщенных путем суммирования одноименных показателей по соответствующим строкам   и графам с исключением в установленном настоящей Инструкцией порядке взаимосвязанных показателей по консолидируемым позициям бюджетной отчетности;</w:t>
      </w:r>
    </w:p>
    <w:p w14:paraId="2761C84C">
      <w:pPr>
        <w:pStyle w:val="20"/>
        <w:ind w:firstLine="567"/>
        <w:jc w:val="both"/>
        <w:rPr>
          <w:sz w:val="25"/>
          <w:szCs w:val="25"/>
        </w:rPr>
      </w:pPr>
      <w:r>
        <w:rPr>
          <w:sz w:val="25"/>
          <w:szCs w:val="25"/>
        </w:rPr>
        <w:t>- на основании показателей последней бюджетной отчетности, представленной субъекту консолидированной бюджетной отчетности.</w:t>
      </w:r>
    </w:p>
    <w:p w14:paraId="754CBD87">
      <w:pPr>
        <w:pStyle w:val="20"/>
        <w:ind w:firstLine="567"/>
        <w:jc w:val="both"/>
        <w:rPr>
          <w:sz w:val="25"/>
          <w:szCs w:val="25"/>
        </w:rPr>
      </w:pPr>
      <w:r>
        <w:rPr>
          <w:sz w:val="25"/>
          <w:szCs w:val="25"/>
        </w:rPr>
        <w:t xml:space="preserve"> До составления бюджетной отчетности производится сверка оборотов и остатков                 по регистрам учета с оборотами и остатками по счетам бюджетного учета. Показатели годовой бюджетной отчетности подтверждаются данными инвентаризации имущества и финансовых обязательств.</w:t>
      </w:r>
    </w:p>
    <w:p w14:paraId="634DBC39">
      <w:pPr>
        <w:pStyle w:val="20"/>
        <w:ind w:firstLine="567"/>
        <w:jc w:val="both"/>
        <w:rPr>
          <w:sz w:val="25"/>
          <w:szCs w:val="25"/>
        </w:rPr>
      </w:pPr>
      <w:r>
        <w:rPr>
          <w:sz w:val="25"/>
          <w:szCs w:val="25"/>
        </w:rPr>
        <w:t>Корректировки сравнительной информации в связи с изменениями учетной политики субъекта отчетности или исправлениями ошибок производятся в порядке, установленном нормативными правовыми актами, регулирующими ведение бухгалтерского учета и составление бюджетной отчетности.</w:t>
      </w:r>
    </w:p>
    <w:p w14:paraId="0831F7FE">
      <w:pPr>
        <w:pStyle w:val="20"/>
        <w:ind w:firstLine="567"/>
        <w:jc w:val="both"/>
        <w:rPr>
          <w:sz w:val="25"/>
          <w:szCs w:val="25"/>
        </w:rPr>
      </w:pPr>
      <w:r>
        <w:rPr>
          <w:sz w:val="25"/>
          <w:szCs w:val="25"/>
        </w:rPr>
        <w:t>16.2. Бюджетная отчетность представляется в Департамент финансов в электронном виде посредством Модуля КБО (Свод-СМАРТ) с применением квалифицированных электронных подписей.</w:t>
      </w:r>
    </w:p>
    <w:p w14:paraId="55A9A81F">
      <w:pPr>
        <w:pStyle w:val="20"/>
        <w:ind w:firstLine="567"/>
        <w:jc w:val="both"/>
        <w:rPr>
          <w:sz w:val="25"/>
          <w:szCs w:val="25"/>
        </w:rPr>
      </w:pPr>
      <w:r>
        <w:rPr>
          <w:sz w:val="25"/>
          <w:szCs w:val="25"/>
        </w:rPr>
        <w:t>16.3. Годовая бюджетная отчетность составляется нарастающим итогом с начала года в рублях с точностью до второго десятичного знака после запятой.</w:t>
      </w:r>
    </w:p>
    <w:p w14:paraId="3E74CA36">
      <w:pPr>
        <w:pStyle w:val="20"/>
        <w:ind w:firstLine="567"/>
        <w:jc w:val="both"/>
        <w:rPr>
          <w:sz w:val="25"/>
          <w:szCs w:val="25"/>
        </w:rPr>
      </w:pPr>
      <w:r>
        <w:rPr>
          <w:sz w:val="25"/>
          <w:szCs w:val="25"/>
        </w:rPr>
        <w:t xml:space="preserve">     Формы бюджетной отчетности формируются в соответствии с Приказом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Приказ № 191н);</w:t>
      </w:r>
    </w:p>
    <w:p w14:paraId="6EF5832E">
      <w:pPr>
        <w:pStyle w:val="20"/>
        <w:ind w:firstLine="567"/>
        <w:jc w:val="both"/>
        <w:rPr>
          <w:sz w:val="25"/>
          <w:szCs w:val="25"/>
        </w:rPr>
      </w:pPr>
      <w:r>
        <w:rPr>
          <w:sz w:val="25"/>
          <w:szCs w:val="25"/>
        </w:rPr>
        <w:t xml:space="preserve">16.4. Администрация представляет годовую бюджетную отчетность получателя бюджетных средств (форма 0503130) в ИФНС № 17 в сроки, установленные действующим законодательством через систему «СБИС» с применением квалифицированных электронных подписей. </w:t>
      </w:r>
    </w:p>
    <w:p w14:paraId="2BCF58ED">
      <w:pPr>
        <w:pStyle w:val="20"/>
        <w:ind w:firstLine="567"/>
        <w:jc w:val="both"/>
        <w:rPr>
          <w:sz w:val="25"/>
          <w:szCs w:val="25"/>
        </w:rPr>
      </w:pPr>
      <w:r>
        <w:rPr>
          <w:sz w:val="25"/>
          <w:szCs w:val="25"/>
        </w:rPr>
        <w:t>16.5. Администрация представляет статистическую отчетность в территориальный орган Росстата по месту регистрации в установленные сроки, установленные действующим законодательством через систему «СБИС» с применением квалифицированных электронных подписей.</w:t>
      </w:r>
    </w:p>
    <w:p w14:paraId="796E4531">
      <w:pPr>
        <w:pStyle w:val="20"/>
        <w:ind w:firstLine="567"/>
        <w:jc w:val="both"/>
        <w:rPr>
          <w:sz w:val="25"/>
          <w:szCs w:val="25"/>
        </w:rPr>
      </w:pPr>
      <w:r>
        <w:rPr>
          <w:sz w:val="25"/>
          <w:szCs w:val="25"/>
        </w:rPr>
        <w:t>16.6. Администрация представляет иную отчетность во внебюджетные фонды,                                в Департаменты города Москвы, в Главное контрольное управление города Москвы, иные органы и организации в установленные сроки.</w:t>
      </w:r>
    </w:p>
    <w:p w14:paraId="5A10FFAE">
      <w:pPr>
        <w:pStyle w:val="20"/>
        <w:ind w:firstLine="567"/>
        <w:jc w:val="both"/>
        <w:rPr>
          <w:sz w:val="25"/>
          <w:szCs w:val="25"/>
        </w:rPr>
      </w:pPr>
      <w:r>
        <w:rPr>
          <w:sz w:val="25"/>
          <w:szCs w:val="25"/>
        </w:rPr>
        <w:t xml:space="preserve">16.7. Бюджетная отчетность представляется в Департамент финансов в электронном виде посредством Модуля КБО (Свод-СМАРТ) с применением квалифицированных. </w:t>
      </w:r>
    </w:p>
    <w:p w14:paraId="1F48EF7D">
      <w:pPr>
        <w:pStyle w:val="20"/>
        <w:ind w:firstLine="567"/>
        <w:jc w:val="both"/>
        <w:rPr>
          <w:sz w:val="25"/>
          <w:szCs w:val="25"/>
        </w:rPr>
      </w:pPr>
      <w:r>
        <w:rPr>
          <w:sz w:val="25"/>
          <w:szCs w:val="25"/>
        </w:rPr>
        <w:t xml:space="preserve">16.8.   Право подписи бюджетной отчетности имеют: </w:t>
      </w:r>
    </w:p>
    <w:p w14:paraId="0FE8587C">
      <w:pPr>
        <w:pStyle w:val="20"/>
        <w:ind w:firstLine="567"/>
        <w:jc w:val="both"/>
        <w:rPr>
          <w:sz w:val="25"/>
          <w:szCs w:val="25"/>
        </w:rPr>
      </w:pPr>
      <w:r>
        <w:rPr>
          <w:sz w:val="25"/>
          <w:szCs w:val="25"/>
        </w:rPr>
        <w:t>первой подписи – глава администрации муниципального округа Останкинский;</w:t>
      </w:r>
    </w:p>
    <w:p w14:paraId="32D9E6A9">
      <w:pPr>
        <w:pStyle w:val="20"/>
        <w:ind w:firstLine="567"/>
        <w:jc w:val="both"/>
        <w:rPr>
          <w:sz w:val="25"/>
          <w:szCs w:val="25"/>
        </w:rPr>
      </w:pPr>
      <w:r>
        <w:rPr>
          <w:sz w:val="25"/>
          <w:szCs w:val="25"/>
        </w:rPr>
        <w:t xml:space="preserve">второй подписи – главный бухгалтер - начальник отдела; </w:t>
      </w:r>
    </w:p>
    <w:p w14:paraId="3415A48B">
      <w:pPr>
        <w:pStyle w:val="20"/>
        <w:ind w:firstLine="567"/>
        <w:jc w:val="both"/>
        <w:rPr>
          <w:sz w:val="25"/>
          <w:szCs w:val="25"/>
        </w:rPr>
      </w:pPr>
      <w:r>
        <w:rPr>
          <w:sz w:val="25"/>
          <w:szCs w:val="25"/>
        </w:rPr>
        <w:t>третьей подписи – главный бухгалтер - начальник отдела.</w:t>
      </w:r>
    </w:p>
    <w:p w14:paraId="7F5BD49A">
      <w:pPr>
        <w:pStyle w:val="20"/>
        <w:ind w:firstLine="567"/>
        <w:jc w:val="both"/>
        <w:rPr>
          <w:sz w:val="25"/>
          <w:szCs w:val="25"/>
        </w:rPr>
      </w:pPr>
    </w:p>
    <w:p w14:paraId="3D7CFA1B">
      <w:pPr>
        <w:pStyle w:val="20"/>
        <w:ind w:firstLine="567"/>
        <w:jc w:val="center"/>
        <w:rPr>
          <w:b/>
          <w:sz w:val="25"/>
          <w:szCs w:val="25"/>
        </w:rPr>
      </w:pPr>
      <w:r>
        <w:rPr>
          <w:b/>
          <w:sz w:val="25"/>
          <w:szCs w:val="25"/>
        </w:rPr>
        <w:t>17. Организация и сроки хранения учетных документов</w:t>
      </w:r>
    </w:p>
    <w:p w14:paraId="11CB73B1">
      <w:pPr>
        <w:pStyle w:val="20"/>
        <w:ind w:firstLine="567"/>
        <w:jc w:val="both"/>
        <w:rPr>
          <w:sz w:val="25"/>
          <w:szCs w:val="25"/>
        </w:rPr>
      </w:pPr>
    </w:p>
    <w:p w14:paraId="2B078DA1">
      <w:pPr>
        <w:pStyle w:val="20"/>
        <w:ind w:firstLine="567"/>
        <w:jc w:val="both"/>
        <w:rPr>
          <w:sz w:val="25"/>
          <w:szCs w:val="25"/>
        </w:rPr>
      </w:pPr>
      <w:r>
        <w:rPr>
          <w:sz w:val="25"/>
          <w:szCs w:val="25"/>
        </w:rPr>
        <w:t>Сроки хранения бухгалтерских документов регламентирует архивное законодательство в Перечне типовых управленческих архивных документов, образующихся в процессе деятельности государственных органов, органов местного самоуправления организаций, с указанием сроков хранения, утвержденном Приказом Федерального архивного агентства от 20 декабря 2019 № 236, ст.23 НК РФ и ст.29 Федерального закона от 6 декабря 2011 г. № 402 ФЗ «О бухгалтерском учете».</w:t>
      </w:r>
    </w:p>
    <w:p w14:paraId="626D2053">
      <w:pPr>
        <w:pStyle w:val="20"/>
        <w:ind w:firstLine="567"/>
        <w:jc w:val="both"/>
        <w:rPr>
          <w:sz w:val="25"/>
          <w:szCs w:val="25"/>
        </w:rPr>
      </w:pPr>
      <w:r>
        <w:rPr>
          <w:sz w:val="25"/>
          <w:szCs w:val="25"/>
        </w:rPr>
        <w:t>Первичные бухгалтерские документы хранят не менее 5 лет, а документы   по учету кадров, в том числе лицевые счета работников (а при их отсутствии - расчетные (расчетно-платежные ведомости) - 50 лет.</w:t>
      </w:r>
    </w:p>
    <w:p w14:paraId="41FB947A">
      <w:pPr>
        <w:pStyle w:val="20"/>
        <w:ind w:firstLine="567"/>
        <w:jc w:val="both"/>
        <w:rPr>
          <w:sz w:val="25"/>
          <w:szCs w:val="25"/>
        </w:rPr>
      </w:pPr>
      <w:r>
        <w:rPr>
          <w:sz w:val="25"/>
          <w:szCs w:val="25"/>
        </w:rPr>
        <w:t>Срок хранения документа исчисляется с 1 января года, следующего за годом, когда документ был оформлен.</w:t>
      </w:r>
    </w:p>
    <w:p w14:paraId="40152664">
      <w:pPr>
        <w:pStyle w:val="20"/>
        <w:ind w:firstLine="567"/>
        <w:jc w:val="both"/>
        <w:rPr>
          <w:sz w:val="25"/>
          <w:szCs w:val="25"/>
        </w:rPr>
      </w:pPr>
      <w:r>
        <w:rPr>
          <w:sz w:val="25"/>
          <w:szCs w:val="25"/>
        </w:rPr>
        <w:t>Хранение первичных учетных документов, регистров бухгалтерского учета осуществляется в течение сроков, установленных в соответствии с правилами организации государственного архивного дела, но не менее пяти лет после года, в котором они использовались при ведении бюджетного учета и (или) для составления бюджетной отчетности в последний раз.</w:t>
      </w:r>
    </w:p>
    <w:p w14:paraId="5E1DF79A">
      <w:pPr>
        <w:pStyle w:val="20"/>
        <w:ind w:firstLine="567"/>
        <w:jc w:val="both"/>
        <w:rPr>
          <w:sz w:val="25"/>
          <w:szCs w:val="25"/>
        </w:rPr>
      </w:pPr>
      <w:r>
        <w:rPr>
          <w:sz w:val="25"/>
          <w:szCs w:val="25"/>
        </w:rPr>
        <w:t>Хранение бюджетной, статистической и иной отчетности осуществляется в течение сроков, установленных в соответствии с правилами организации государственного архивного дела, но не менее пяти лет (ежемесячная отчетность, при наличии годовой отчетности, хранится 1 год).</w:t>
      </w:r>
    </w:p>
    <w:p w14:paraId="7A77E847">
      <w:pPr>
        <w:pStyle w:val="20"/>
        <w:ind w:firstLine="567"/>
        <w:jc w:val="both"/>
        <w:rPr>
          <w:sz w:val="25"/>
          <w:szCs w:val="25"/>
        </w:rPr>
      </w:pPr>
      <w:r>
        <w:rPr>
          <w:sz w:val="25"/>
          <w:szCs w:val="25"/>
        </w:rPr>
        <w:t>Документы по заработной плате хранятся не менее 50 лет.</w:t>
      </w:r>
    </w:p>
    <w:p w14:paraId="66C2274E">
      <w:pPr>
        <w:pStyle w:val="20"/>
        <w:ind w:firstLine="567"/>
        <w:jc w:val="both"/>
        <w:rPr>
          <w:sz w:val="25"/>
          <w:szCs w:val="25"/>
        </w:rPr>
      </w:pPr>
      <w:r>
        <w:rPr>
          <w:sz w:val="25"/>
          <w:szCs w:val="25"/>
        </w:rPr>
        <w:t>Документы, срок хранения которых истек, подлежат уничтожению, на основании акта об уничтожении, утверждаемым главой администрации.</w:t>
      </w:r>
    </w:p>
    <w:p w14:paraId="633EC6FE">
      <w:pPr>
        <w:pStyle w:val="20"/>
        <w:ind w:firstLine="567"/>
        <w:jc w:val="both"/>
        <w:rPr>
          <w:sz w:val="25"/>
          <w:szCs w:val="25"/>
        </w:rPr>
      </w:pPr>
    </w:p>
    <w:p w14:paraId="6E8CC804">
      <w:pPr>
        <w:pStyle w:val="20"/>
        <w:ind w:firstLine="567"/>
        <w:jc w:val="center"/>
        <w:rPr>
          <w:sz w:val="25"/>
          <w:szCs w:val="25"/>
        </w:rPr>
      </w:pPr>
      <w:r>
        <w:rPr>
          <w:b/>
          <w:sz w:val="25"/>
          <w:szCs w:val="25"/>
        </w:rPr>
        <w:t>19.  Система налогового учет</w:t>
      </w:r>
      <w:r>
        <w:rPr>
          <w:sz w:val="25"/>
          <w:szCs w:val="25"/>
        </w:rPr>
        <w:t>а</w:t>
      </w:r>
    </w:p>
    <w:p w14:paraId="78EF165F">
      <w:pPr>
        <w:pStyle w:val="20"/>
        <w:ind w:firstLine="567"/>
        <w:jc w:val="both"/>
        <w:rPr>
          <w:sz w:val="25"/>
          <w:szCs w:val="25"/>
        </w:rPr>
      </w:pPr>
      <w:r>
        <w:rPr>
          <w:sz w:val="25"/>
          <w:szCs w:val="25"/>
        </w:rPr>
        <w:t>Система налогового учета создается в рамках существующей системы бюджетного учета.</w:t>
      </w:r>
    </w:p>
    <w:p w14:paraId="784F1AF7">
      <w:pPr>
        <w:pStyle w:val="20"/>
        <w:ind w:firstLine="567"/>
        <w:jc w:val="both"/>
        <w:rPr>
          <w:sz w:val="25"/>
          <w:szCs w:val="25"/>
        </w:rPr>
      </w:pPr>
      <w:r>
        <w:rPr>
          <w:sz w:val="25"/>
          <w:szCs w:val="25"/>
        </w:rPr>
        <w:t>Для подтверждения данных налогового учета применяются:</w:t>
      </w:r>
    </w:p>
    <w:p w14:paraId="153CFD3F">
      <w:pPr>
        <w:pStyle w:val="20"/>
        <w:ind w:firstLine="567"/>
        <w:jc w:val="both"/>
        <w:rPr>
          <w:sz w:val="25"/>
          <w:szCs w:val="25"/>
        </w:rPr>
      </w:pPr>
      <w:r>
        <w:rPr>
          <w:sz w:val="25"/>
          <w:szCs w:val="25"/>
        </w:rPr>
        <w:t xml:space="preserve">- первичные учетные документы (включая Бухгалтерскую справку), оформленные    в соответствии с законодательством Российской Федерации; </w:t>
      </w:r>
    </w:p>
    <w:p w14:paraId="0DD1D1F2">
      <w:pPr>
        <w:pStyle w:val="20"/>
        <w:ind w:firstLine="567"/>
        <w:jc w:val="both"/>
        <w:rPr>
          <w:sz w:val="25"/>
          <w:szCs w:val="25"/>
        </w:rPr>
      </w:pPr>
      <w:r>
        <w:rPr>
          <w:sz w:val="25"/>
          <w:szCs w:val="25"/>
        </w:rPr>
        <w:t>- аналитические регистры налогового учета.</w:t>
      </w:r>
    </w:p>
    <w:p w14:paraId="6C9E4BE3">
      <w:pPr>
        <w:pStyle w:val="20"/>
        <w:ind w:firstLine="567"/>
        <w:jc w:val="both"/>
        <w:rPr>
          <w:sz w:val="25"/>
          <w:szCs w:val="25"/>
        </w:rPr>
      </w:pPr>
      <w:r>
        <w:rPr>
          <w:sz w:val="25"/>
          <w:szCs w:val="25"/>
        </w:rPr>
        <w:t>Налоговые декларации и отчетность по налогам и страховым взносам готовит и представляет в налоговые органы и внебюджетные фонды главный бухгалтер.</w:t>
      </w:r>
    </w:p>
    <w:p w14:paraId="74FE7341">
      <w:pPr>
        <w:pStyle w:val="20"/>
        <w:ind w:firstLine="567"/>
        <w:jc w:val="both"/>
        <w:rPr>
          <w:sz w:val="25"/>
          <w:szCs w:val="25"/>
        </w:rPr>
      </w:pPr>
      <w:r>
        <w:rPr>
          <w:sz w:val="25"/>
          <w:szCs w:val="25"/>
        </w:rPr>
        <w:t>Периодичность выведения налоговой отчетности на бумажные носители -                 не позднее одного месяца после сдачи отчетности.</w:t>
      </w:r>
    </w:p>
    <w:p w14:paraId="7FCB9135">
      <w:pPr>
        <w:pStyle w:val="20"/>
        <w:ind w:firstLine="567"/>
        <w:jc w:val="both"/>
        <w:rPr>
          <w:sz w:val="25"/>
          <w:szCs w:val="25"/>
        </w:rPr>
      </w:pPr>
      <w:r>
        <w:rPr>
          <w:sz w:val="25"/>
          <w:szCs w:val="25"/>
        </w:rPr>
        <w:tab/>
      </w:r>
      <w:r>
        <w:rPr>
          <w:sz w:val="25"/>
          <w:szCs w:val="25"/>
        </w:rPr>
        <w:t>Хранение налоговой отчетности осуществляется в течение сроков, установленных в соответствии с правилами организации государственного архивного дела, но не менее пяти лет (ежемесячная отчетность, при наличии годовой отчетности, хранится 1 год).</w:t>
      </w:r>
    </w:p>
    <w:p w14:paraId="6C304537">
      <w:pPr>
        <w:pStyle w:val="20"/>
        <w:ind w:firstLine="567"/>
        <w:jc w:val="both"/>
        <w:rPr>
          <w:sz w:val="25"/>
          <w:szCs w:val="25"/>
        </w:rPr>
      </w:pPr>
    </w:p>
    <w:p w14:paraId="25BE58B3">
      <w:pPr>
        <w:pStyle w:val="20"/>
        <w:ind w:firstLine="567"/>
        <w:jc w:val="center"/>
        <w:rPr>
          <w:b/>
          <w:sz w:val="25"/>
          <w:szCs w:val="25"/>
        </w:rPr>
      </w:pPr>
      <w:r>
        <w:rPr>
          <w:b/>
          <w:sz w:val="25"/>
          <w:szCs w:val="25"/>
        </w:rPr>
        <w:t>20. Регистры налогового учета</w:t>
      </w:r>
    </w:p>
    <w:p w14:paraId="00973552">
      <w:pPr>
        <w:pStyle w:val="20"/>
        <w:ind w:firstLine="567"/>
        <w:jc w:val="both"/>
        <w:rPr>
          <w:sz w:val="25"/>
          <w:szCs w:val="25"/>
        </w:rPr>
      </w:pPr>
    </w:p>
    <w:p w14:paraId="44BE8BFF">
      <w:pPr>
        <w:pStyle w:val="20"/>
        <w:ind w:firstLine="567"/>
        <w:jc w:val="both"/>
        <w:rPr>
          <w:sz w:val="25"/>
          <w:szCs w:val="25"/>
        </w:rPr>
      </w:pPr>
      <w:r>
        <w:rPr>
          <w:sz w:val="25"/>
          <w:szCs w:val="25"/>
        </w:rPr>
        <w:t>Регистры налогового учета формируются на основании данных регистров бюджетного учета.</w:t>
      </w:r>
    </w:p>
    <w:p w14:paraId="09AFA6DE">
      <w:pPr>
        <w:pStyle w:val="20"/>
        <w:ind w:firstLine="567"/>
        <w:jc w:val="both"/>
        <w:rPr>
          <w:sz w:val="25"/>
          <w:szCs w:val="25"/>
        </w:rPr>
      </w:pPr>
      <w:r>
        <w:rPr>
          <w:sz w:val="25"/>
          <w:szCs w:val="25"/>
        </w:rPr>
        <w:t>При ведении налогового учета применяются регистры налогового учета                     по формам, утвержденным согласно приказа ФНС России:</w:t>
      </w:r>
    </w:p>
    <w:p w14:paraId="7FF9586F">
      <w:pPr>
        <w:pStyle w:val="20"/>
        <w:ind w:firstLine="567"/>
        <w:jc w:val="both"/>
        <w:rPr>
          <w:sz w:val="25"/>
          <w:szCs w:val="25"/>
        </w:rPr>
      </w:pPr>
      <w:r>
        <w:rPr>
          <w:sz w:val="25"/>
          <w:szCs w:val="25"/>
        </w:rPr>
        <w:t>- для учета налога на доходы физических лиц по каждому сотруднику (налогоплательщику) ведутся Налоговые регистры по учету НДФЛ;</w:t>
      </w:r>
    </w:p>
    <w:p w14:paraId="229871F1">
      <w:pPr>
        <w:pStyle w:val="20"/>
        <w:ind w:firstLine="567"/>
        <w:jc w:val="both"/>
        <w:rPr>
          <w:sz w:val="25"/>
          <w:szCs w:val="25"/>
        </w:rPr>
      </w:pPr>
      <w:r>
        <w:rPr>
          <w:sz w:val="25"/>
          <w:szCs w:val="25"/>
        </w:rPr>
        <w:t>- для учета страховых взносов по каждому сотруднику ведутся Карточки учета сумм начисленных выплат и иных вознаграждений и сумм начисленных страховых взносов.</w:t>
      </w:r>
    </w:p>
    <w:p w14:paraId="37171839">
      <w:pPr>
        <w:pStyle w:val="20"/>
        <w:ind w:firstLine="567"/>
        <w:jc w:val="both"/>
        <w:rPr>
          <w:sz w:val="25"/>
          <w:szCs w:val="25"/>
        </w:rPr>
      </w:pPr>
      <w:r>
        <w:rPr>
          <w:sz w:val="25"/>
          <w:szCs w:val="25"/>
        </w:rPr>
        <w:t>Периодичность выведения регистров налогового учета на бумажные носители:</w:t>
      </w:r>
    </w:p>
    <w:p w14:paraId="439F3875">
      <w:pPr>
        <w:pStyle w:val="20"/>
        <w:ind w:firstLine="567"/>
        <w:jc w:val="both"/>
        <w:rPr>
          <w:sz w:val="25"/>
          <w:szCs w:val="25"/>
        </w:rPr>
      </w:pPr>
      <w:r>
        <w:rPr>
          <w:sz w:val="25"/>
          <w:szCs w:val="25"/>
        </w:rPr>
        <w:t>Налоговые регистры по учету НДФЛ, Карточки индивидуального учета сумм начисленных выплат и иных вознаграждений и сумм начисленных страховых взносов хранятся в электронном виде и выводятся на бумажный носитель по мере необходимости или по запросу контролирующих органов.</w:t>
      </w:r>
    </w:p>
    <w:p w14:paraId="5D9CE5FD">
      <w:pPr>
        <w:pStyle w:val="20"/>
        <w:ind w:firstLine="567"/>
        <w:jc w:val="both"/>
        <w:rPr>
          <w:sz w:val="25"/>
          <w:szCs w:val="25"/>
        </w:rPr>
      </w:pPr>
      <w:r>
        <w:rPr>
          <w:sz w:val="25"/>
          <w:szCs w:val="25"/>
        </w:rPr>
        <w:t>Хранение первичных учетных документов, регистров налогового учета, налоговой отчетности осуществляется в течение сроков, установленных                                      в соответствии с правилами организации государственного архивного дела,                             но не менее пяти лет после года, в котором они использовались при ведении налогового учета и (или) для составления налоговой отчетности в последний раз.</w:t>
      </w:r>
    </w:p>
    <w:p w14:paraId="0970C831">
      <w:pPr>
        <w:pStyle w:val="20"/>
        <w:ind w:firstLine="567"/>
        <w:jc w:val="both"/>
        <w:rPr>
          <w:sz w:val="25"/>
          <w:szCs w:val="25"/>
        </w:rPr>
      </w:pPr>
      <w:r>
        <w:rPr>
          <w:sz w:val="25"/>
          <w:szCs w:val="25"/>
        </w:rPr>
        <w:t>Регистры налогового учета подписываются лицом, ответственным за его формирование.</w:t>
      </w:r>
    </w:p>
    <w:p w14:paraId="1EDECCC5">
      <w:pPr>
        <w:pStyle w:val="20"/>
        <w:ind w:firstLine="567"/>
        <w:jc w:val="both"/>
        <w:rPr>
          <w:sz w:val="25"/>
          <w:szCs w:val="25"/>
        </w:rPr>
      </w:pPr>
      <w:r>
        <w:rPr>
          <w:sz w:val="25"/>
          <w:szCs w:val="25"/>
        </w:rPr>
        <w:t>Правильность отражения фактов хозяйственной жизни в регистрах налогового учета обеспечивают лица, составившие и подписавшие их.</w:t>
      </w:r>
    </w:p>
    <w:p w14:paraId="007D4B2B">
      <w:pPr>
        <w:pStyle w:val="20"/>
        <w:ind w:firstLine="567"/>
        <w:jc w:val="both"/>
        <w:rPr>
          <w:sz w:val="25"/>
          <w:szCs w:val="25"/>
        </w:rPr>
      </w:pPr>
    </w:p>
    <w:p w14:paraId="74922A83">
      <w:pPr>
        <w:pStyle w:val="20"/>
        <w:ind w:firstLine="567"/>
        <w:jc w:val="center"/>
        <w:rPr>
          <w:b/>
          <w:sz w:val="25"/>
          <w:szCs w:val="25"/>
        </w:rPr>
      </w:pPr>
      <w:r>
        <w:rPr>
          <w:b/>
          <w:sz w:val="25"/>
          <w:szCs w:val="25"/>
        </w:rPr>
        <w:t>21. Налог на доходы физических лиц</w:t>
      </w:r>
    </w:p>
    <w:p w14:paraId="03A155E7">
      <w:pPr>
        <w:pStyle w:val="20"/>
        <w:ind w:firstLine="567"/>
        <w:jc w:val="both"/>
        <w:rPr>
          <w:sz w:val="25"/>
          <w:szCs w:val="25"/>
        </w:rPr>
      </w:pPr>
    </w:p>
    <w:p w14:paraId="5C932EA8">
      <w:pPr>
        <w:pStyle w:val="20"/>
        <w:ind w:firstLine="567"/>
        <w:jc w:val="both"/>
        <w:rPr>
          <w:sz w:val="25"/>
          <w:szCs w:val="25"/>
        </w:rPr>
      </w:pPr>
      <w:r>
        <w:rPr>
          <w:sz w:val="25"/>
          <w:szCs w:val="25"/>
        </w:rPr>
        <w:t>21.1.</w:t>
      </w:r>
      <w:bookmarkStart w:id="2" w:name="_Hlk126089938"/>
      <w:r>
        <w:rPr>
          <w:sz w:val="25"/>
          <w:szCs w:val="25"/>
        </w:rPr>
        <w:t xml:space="preserve"> Администрация </w:t>
      </w:r>
      <w:bookmarkEnd w:id="2"/>
      <w:r>
        <w:rPr>
          <w:sz w:val="25"/>
          <w:szCs w:val="25"/>
        </w:rPr>
        <w:t>является налоговым агентом по исчислению и уплате налога                         на доходы физических лиц с доходов, начисленных в денежной форме в пользу сотрудников (налогоплательщиков).</w:t>
      </w:r>
    </w:p>
    <w:p w14:paraId="544FA679">
      <w:pPr>
        <w:pStyle w:val="20"/>
        <w:ind w:firstLine="567"/>
        <w:jc w:val="both"/>
        <w:rPr>
          <w:sz w:val="25"/>
          <w:szCs w:val="25"/>
        </w:rPr>
      </w:pPr>
      <w:r>
        <w:rPr>
          <w:sz w:val="25"/>
          <w:szCs w:val="25"/>
        </w:rPr>
        <w:t>21.2. Исчисление сумм налога производится нарастающим итогом с начала налогового периода по итогам каждого календарного месяца применительно ко всем доходам, в отношении которых применяется налоговая ставка, установленная                          в размере 13 и 15 процентов, начисленным налогоплательщику за данный период,                   с зачетом суммы налога, удержанной в предыдущие месяцы текущего налогового периода.</w:t>
      </w:r>
    </w:p>
    <w:p w14:paraId="1DC0D134">
      <w:pPr>
        <w:pStyle w:val="20"/>
        <w:ind w:firstLine="567"/>
        <w:jc w:val="both"/>
        <w:rPr>
          <w:sz w:val="25"/>
          <w:szCs w:val="25"/>
        </w:rPr>
      </w:pPr>
      <w:r>
        <w:rPr>
          <w:sz w:val="25"/>
          <w:szCs w:val="25"/>
        </w:rPr>
        <w:t>21.3. Налогоплательщик имеет право воспользоваться стандартными, социальными и имущественными вычетами на основании личного заявления.</w:t>
      </w:r>
    </w:p>
    <w:p w14:paraId="4D9A16DE">
      <w:pPr>
        <w:pStyle w:val="20"/>
        <w:ind w:firstLine="567"/>
        <w:jc w:val="both"/>
        <w:rPr>
          <w:sz w:val="25"/>
          <w:szCs w:val="25"/>
        </w:rPr>
      </w:pPr>
      <w:r>
        <w:rPr>
          <w:sz w:val="25"/>
          <w:szCs w:val="25"/>
        </w:rPr>
        <w:t xml:space="preserve"> 21.4. Администрация удерживает исчисленную сумму налога непосредственно из доходов налогоплательщика с учетом примененных вычетов.</w:t>
      </w:r>
    </w:p>
    <w:p w14:paraId="7FF71918">
      <w:pPr>
        <w:pStyle w:val="20"/>
        <w:ind w:firstLine="567"/>
        <w:jc w:val="both"/>
        <w:rPr>
          <w:sz w:val="25"/>
          <w:szCs w:val="25"/>
        </w:rPr>
      </w:pPr>
      <w:r>
        <w:rPr>
          <w:sz w:val="25"/>
          <w:szCs w:val="25"/>
        </w:rPr>
        <w:t xml:space="preserve"> 21.5. Датой фактического получения налогоплательщиком дохода в виде оплаты труда признается последний день месяца, за который ему был начислен доход                             за выполненные трудовые обязанности. </w:t>
      </w:r>
    </w:p>
    <w:p w14:paraId="5656FA86">
      <w:pPr>
        <w:pStyle w:val="20"/>
        <w:ind w:firstLine="567"/>
        <w:jc w:val="both"/>
        <w:rPr>
          <w:sz w:val="25"/>
          <w:szCs w:val="25"/>
        </w:rPr>
      </w:pPr>
      <w:r>
        <w:rPr>
          <w:sz w:val="25"/>
          <w:szCs w:val="25"/>
        </w:rPr>
        <w:t xml:space="preserve">Исчисление сумм налога на доходы физических лиц производится в последний день месяца, за который налогоплательщику начислен доход за выполненные трудовые обязанности. </w:t>
      </w:r>
    </w:p>
    <w:p w14:paraId="160DD216">
      <w:pPr>
        <w:pStyle w:val="20"/>
        <w:ind w:firstLine="567"/>
        <w:jc w:val="both"/>
        <w:rPr>
          <w:sz w:val="25"/>
          <w:szCs w:val="25"/>
        </w:rPr>
      </w:pPr>
      <w:r>
        <w:rPr>
          <w:sz w:val="25"/>
          <w:szCs w:val="25"/>
        </w:rPr>
        <w:t xml:space="preserve">Удержание исчисленной суммы налога производится из доходов при их выплате   по завершении месяца, за который был начислен доход за выполненные трудовые обязанности. </w:t>
      </w:r>
    </w:p>
    <w:p w14:paraId="7A1AFE1F">
      <w:pPr>
        <w:pStyle w:val="20"/>
        <w:ind w:firstLine="567"/>
        <w:jc w:val="both"/>
        <w:rPr>
          <w:sz w:val="25"/>
          <w:szCs w:val="25"/>
        </w:rPr>
      </w:pPr>
      <w:r>
        <w:rPr>
          <w:sz w:val="25"/>
          <w:szCs w:val="25"/>
        </w:rPr>
        <w:t>Суммы исчисленного и удержанного налога с указанных выплат перечисляются                   в бюджет не позднее дня, следующего за днем выплаты налогоплательщику дохода.</w:t>
      </w:r>
    </w:p>
    <w:p w14:paraId="6EFCD79F">
      <w:pPr>
        <w:pStyle w:val="20"/>
        <w:ind w:firstLine="567"/>
        <w:jc w:val="both"/>
        <w:rPr>
          <w:sz w:val="25"/>
          <w:szCs w:val="25"/>
        </w:rPr>
      </w:pPr>
      <w:r>
        <w:rPr>
          <w:sz w:val="25"/>
          <w:szCs w:val="25"/>
        </w:rPr>
        <w:t xml:space="preserve">21.6. Суммы налога на доходы физических лиц с начисленных доходов в виде пособий по временной нетрудоспособности и в виде оплаты отпусков исчисляются               и удерживаются непосредственно из доходов налогоплательщика при их фактической выплате. </w:t>
      </w:r>
    </w:p>
    <w:p w14:paraId="35EB75AC">
      <w:pPr>
        <w:pStyle w:val="20"/>
        <w:ind w:firstLine="567"/>
        <w:jc w:val="both"/>
        <w:rPr>
          <w:sz w:val="25"/>
          <w:szCs w:val="25"/>
        </w:rPr>
      </w:pPr>
      <w:r>
        <w:rPr>
          <w:sz w:val="25"/>
          <w:szCs w:val="25"/>
        </w:rPr>
        <w:t>Суммы исчисленного и удержанного налога с указанных выплат перечисляются в бюджет не позднее последнего числа месяца, в котором производились такие выплаты.</w:t>
      </w:r>
    </w:p>
    <w:p w14:paraId="1FF17B71">
      <w:pPr>
        <w:pStyle w:val="20"/>
        <w:ind w:firstLine="567"/>
        <w:jc w:val="both"/>
        <w:rPr>
          <w:sz w:val="25"/>
          <w:szCs w:val="25"/>
        </w:rPr>
      </w:pPr>
      <w:r>
        <w:rPr>
          <w:sz w:val="25"/>
          <w:szCs w:val="25"/>
        </w:rPr>
        <w:t>21.7. Суммы налога на доходы физических лиц с начисленных доходов в виде иных выплат исчисляются и удерживаются непосредственно из доходов налогоплательщика при их фактической выплате. Суммы исчисленного и удержанного налога с указанных выплат перечисляются в бюджет в тот же день или не позднее дня, следующего за днем выплаты налогоплательщику дохода.</w:t>
      </w:r>
    </w:p>
    <w:p w14:paraId="5FD39ECD">
      <w:pPr>
        <w:pStyle w:val="20"/>
        <w:ind w:firstLine="567"/>
        <w:jc w:val="both"/>
        <w:rPr>
          <w:sz w:val="25"/>
          <w:szCs w:val="25"/>
        </w:rPr>
      </w:pPr>
      <w:r>
        <w:rPr>
          <w:sz w:val="25"/>
          <w:szCs w:val="25"/>
        </w:rPr>
        <w:t>21.8. Совокупная сумма налога на доходы физических лиц, исчисленная                               и удержанная из доходов налогоплательщиков - сотрудников администрации, перечисляется в бюджет по месту нахождения аппарата.</w:t>
      </w:r>
    </w:p>
    <w:p w14:paraId="3F93E9B2">
      <w:pPr>
        <w:pStyle w:val="20"/>
        <w:ind w:firstLine="567"/>
        <w:jc w:val="both"/>
        <w:rPr>
          <w:sz w:val="25"/>
          <w:szCs w:val="25"/>
        </w:rPr>
      </w:pPr>
      <w:r>
        <w:rPr>
          <w:sz w:val="25"/>
          <w:szCs w:val="25"/>
        </w:rPr>
        <w:t>21.9. Администрация представляет следующую налоговую отчетность по налогу на доходы физических лиц:</w:t>
      </w:r>
    </w:p>
    <w:p w14:paraId="0B1A3782">
      <w:pPr>
        <w:pStyle w:val="20"/>
        <w:ind w:firstLine="567"/>
        <w:jc w:val="both"/>
        <w:rPr>
          <w:sz w:val="25"/>
          <w:szCs w:val="25"/>
        </w:rPr>
      </w:pPr>
      <w:r>
        <w:rPr>
          <w:sz w:val="25"/>
          <w:szCs w:val="25"/>
        </w:rPr>
        <w:t xml:space="preserve">  </w:t>
      </w:r>
      <w:r>
        <w:rPr>
          <w:sz w:val="25"/>
          <w:szCs w:val="25"/>
        </w:rPr>
        <w:tab/>
      </w:r>
      <w:r>
        <w:rPr>
          <w:sz w:val="25"/>
          <w:szCs w:val="25"/>
        </w:rPr>
        <w:t>«Расчет сумм налога на доходы физических лиц, исчисленных и удержанных налоговым агентом» (форма 6-НДФЛ) ежеквартально в срок не позднее последнего дня месяца, следующего за соответствующим отчетным периодом (первый квартал, полугодие, девять месяцев), за год с «Справкой о доходах физического лица» (форма 2-НДФЛ) по каждому физическому лицу - не позднее 1 апреля года, следующего                       за истекшим налоговым периодом, в ИФНС №17.</w:t>
      </w:r>
    </w:p>
    <w:p w14:paraId="5240F617">
      <w:pPr>
        <w:pStyle w:val="20"/>
        <w:ind w:firstLine="567"/>
        <w:jc w:val="both"/>
        <w:rPr>
          <w:sz w:val="25"/>
          <w:szCs w:val="25"/>
        </w:rPr>
      </w:pPr>
    </w:p>
    <w:p w14:paraId="6D1A9DFD">
      <w:pPr>
        <w:pStyle w:val="20"/>
        <w:ind w:firstLine="567"/>
        <w:jc w:val="center"/>
        <w:rPr>
          <w:b/>
          <w:sz w:val="25"/>
          <w:szCs w:val="25"/>
        </w:rPr>
      </w:pPr>
      <w:r>
        <w:rPr>
          <w:b/>
          <w:sz w:val="25"/>
          <w:szCs w:val="25"/>
        </w:rPr>
        <w:t>22. Страховые взносы</w:t>
      </w:r>
    </w:p>
    <w:p w14:paraId="155D4CFC">
      <w:pPr>
        <w:pStyle w:val="20"/>
        <w:ind w:firstLine="567"/>
        <w:jc w:val="both"/>
        <w:rPr>
          <w:sz w:val="25"/>
          <w:szCs w:val="25"/>
        </w:rPr>
      </w:pPr>
    </w:p>
    <w:p w14:paraId="1C28CFFC">
      <w:pPr>
        <w:pStyle w:val="20"/>
        <w:ind w:firstLine="567"/>
        <w:jc w:val="both"/>
        <w:rPr>
          <w:sz w:val="25"/>
          <w:szCs w:val="25"/>
        </w:rPr>
      </w:pPr>
      <w:r>
        <w:rPr>
          <w:sz w:val="25"/>
          <w:szCs w:val="25"/>
        </w:rPr>
        <w:t>22.1. Администрация является плательщиком страховых взносов на обязательное пенсионное, медицинское и социальное страхование с начисленных выплат сотрудникам. Страховые взносы начисляются один раз в месяц при расчете заработной платы за вторую половину месяца.</w:t>
      </w:r>
    </w:p>
    <w:p w14:paraId="1C9DB993">
      <w:pPr>
        <w:pStyle w:val="20"/>
        <w:ind w:firstLine="567"/>
        <w:jc w:val="both"/>
        <w:rPr>
          <w:sz w:val="25"/>
          <w:szCs w:val="25"/>
        </w:rPr>
      </w:pPr>
      <w:r>
        <w:rPr>
          <w:sz w:val="25"/>
          <w:szCs w:val="25"/>
        </w:rPr>
        <w:t>22.2. Предельная величина базы для начисления страховых взносов устанавливается Постановлением Правительства Российской Федерации.</w:t>
      </w:r>
    </w:p>
    <w:p w14:paraId="78409F7D">
      <w:pPr>
        <w:pStyle w:val="20"/>
        <w:ind w:firstLine="567"/>
        <w:jc w:val="both"/>
        <w:rPr>
          <w:sz w:val="25"/>
          <w:szCs w:val="25"/>
        </w:rPr>
      </w:pPr>
      <w:r>
        <w:rPr>
          <w:sz w:val="25"/>
          <w:szCs w:val="25"/>
        </w:rPr>
        <w:t>22.3. Администрация представляет следующую отчетность по страховым взносам:</w:t>
      </w:r>
    </w:p>
    <w:p w14:paraId="00EAEBE6">
      <w:pPr>
        <w:pStyle w:val="20"/>
        <w:ind w:firstLine="567"/>
        <w:jc w:val="both"/>
        <w:rPr>
          <w:sz w:val="25"/>
          <w:szCs w:val="25"/>
        </w:rPr>
      </w:pPr>
      <w:r>
        <w:rPr>
          <w:sz w:val="25"/>
          <w:szCs w:val="25"/>
        </w:rPr>
        <w:t xml:space="preserve">     «Сведения о застрахованных лицах» (форма СЗВ-М) ежемесячно не позднее 15-го числа месяца, следующего за отчетным месяцем, в территориальный орган Пенсионного фонда Российской Федерации по месту регистрации страхователя;</w:t>
      </w:r>
    </w:p>
    <w:p w14:paraId="20A5753B">
      <w:pPr>
        <w:pStyle w:val="20"/>
        <w:ind w:firstLine="567"/>
        <w:jc w:val="both"/>
        <w:rPr>
          <w:sz w:val="25"/>
          <w:szCs w:val="25"/>
        </w:rPr>
      </w:pPr>
      <w:r>
        <w:rPr>
          <w:sz w:val="25"/>
          <w:szCs w:val="25"/>
        </w:rPr>
        <w:t xml:space="preserve">     «Сведения о страховом стаже застрахованных лиц» (форма СЗВ-СТАЖ) ежегодно  в срок не позднее 1 марта года, следующего за отчетным годом, в территориальный орган Пенсионного фонда Российской Федерации по месту регистрации страхователя;</w:t>
      </w:r>
    </w:p>
    <w:p w14:paraId="4706C437">
      <w:pPr>
        <w:pStyle w:val="20"/>
        <w:ind w:firstLine="567"/>
        <w:jc w:val="both"/>
        <w:rPr>
          <w:sz w:val="25"/>
          <w:szCs w:val="25"/>
        </w:rPr>
      </w:pPr>
      <w:r>
        <w:rPr>
          <w:sz w:val="25"/>
          <w:szCs w:val="25"/>
        </w:rPr>
        <w:t xml:space="preserve">     «Сведения о трудовой деятельности зарегистрированного лица» (форма СЗВ-ТД) при наступлении случая по сотруднику, в отношении которого произведены кадровые изменения;</w:t>
      </w:r>
    </w:p>
    <w:p w14:paraId="6D108508">
      <w:pPr>
        <w:pStyle w:val="20"/>
        <w:ind w:firstLine="567"/>
        <w:jc w:val="both"/>
        <w:rPr>
          <w:sz w:val="25"/>
          <w:szCs w:val="25"/>
        </w:rPr>
      </w:pPr>
      <w:r>
        <w:rPr>
          <w:sz w:val="25"/>
          <w:szCs w:val="25"/>
        </w:rPr>
        <w:t xml:space="preserve">     «Расчет по страховым взносам» ежеквартально в срок не позднее 30-го числа месяца, следующего за отчетным периодом (первый квартал, полугодие, девять месяцев, год) в налоговый орган по месту нахождения;</w:t>
      </w:r>
    </w:p>
    <w:p w14:paraId="05ED6178">
      <w:pPr>
        <w:pStyle w:val="20"/>
        <w:ind w:firstLine="567"/>
        <w:jc w:val="both"/>
        <w:rPr>
          <w:sz w:val="25"/>
          <w:szCs w:val="25"/>
        </w:rPr>
      </w:pPr>
      <w:r>
        <w:rPr>
          <w:sz w:val="25"/>
          <w:szCs w:val="25"/>
        </w:rPr>
        <w:t xml:space="preserve">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                         № 4-ФСС)» ежеквартально не позднее 25-го числа месяца, следующего за отчетным периодом (первый квартал, полугодие, девять месяцев, год), в территориальный орган Фонда социального страхования Российской Федерации по месту регистрации страхователя.</w:t>
      </w:r>
    </w:p>
    <w:p w14:paraId="0D6EE679">
      <w:pPr>
        <w:pStyle w:val="20"/>
        <w:ind w:firstLine="567"/>
        <w:jc w:val="center"/>
        <w:rPr>
          <w:b/>
          <w:sz w:val="25"/>
          <w:szCs w:val="25"/>
        </w:rPr>
      </w:pPr>
      <w:r>
        <w:rPr>
          <w:b/>
          <w:sz w:val="25"/>
          <w:szCs w:val="25"/>
        </w:rPr>
        <w:t>23. Налог на имущество организаций</w:t>
      </w:r>
    </w:p>
    <w:p w14:paraId="7E0FC99D">
      <w:pPr>
        <w:pStyle w:val="20"/>
        <w:ind w:firstLine="567"/>
        <w:jc w:val="both"/>
        <w:rPr>
          <w:sz w:val="25"/>
          <w:szCs w:val="25"/>
        </w:rPr>
      </w:pPr>
    </w:p>
    <w:p w14:paraId="5178ADAC">
      <w:pPr>
        <w:pStyle w:val="20"/>
        <w:ind w:firstLine="567"/>
        <w:jc w:val="both"/>
        <w:rPr>
          <w:sz w:val="25"/>
          <w:szCs w:val="25"/>
        </w:rPr>
      </w:pPr>
      <w:r>
        <w:rPr>
          <w:sz w:val="25"/>
          <w:szCs w:val="25"/>
        </w:rPr>
        <w:t xml:space="preserve">     </w:t>
      </w:r>
      <w:r>
        <w:rPr>
          <w:sz w:val="25"/>
          <w:szCs w:val="25"/>
        </w:rPr>
        <w:tab/>
      </w:r>
      <w:r>
        <w:rPr>
          <w:sz w:val="25"/>
          <w:szCs w:val="25"/>
        </w:rPr>
        <w:t>Администрация не является плательщиком налога на имущество организаций.</w:t>
      </w:r>
    </w:p>
    <w:p w14:paraId="60B3DA4F">
      <w:pPr>
        <w:pStyle w:val="20"/>
        <w:ind w:firstLine="567"/>
        <w:jc w:val="both"/>
        <w:rPr>
          <w:sz w:val="25"/>
          <w:szCs w:val="25"/>
        </w:rPr>
      </w:pPr>
      <w:r>
        <w:rPr>
          <w:sz w:val="25"/>
          <w:szCs w:val="25"/>
        </w:rPr>
        <w:t xml:space="preserve">     По истечении налогового периода представляет в ИФНС №15 налоговую декларацию по налогу на имущество организаций независимо от наличия обязанности по уплате налога.</w:t>
      </w:r>
    </w:p>
    <w:p w14:paraId="6DA9E52D">
      <w:pPr>
        <w:pStyle w:val="20"/>
        <w:ind w:firstLine="567"/>
        <w:jc w:val="both"/>
        <w:rPr>
          <w:sz w:val="25"/>
          <w:szCs w:val="25"/>
        </w:rPr>
      </w:pPr>
    </w:p>
    <w:p w14:paraId="60FF7E5C">
      <w:pPr>
        <w:pStyle w:val="20"/>
        <w:ind w:firstLine="567"/>
        <w:jc w:val="center"/>
        <w:rPr>
          <w:b/>
          <w:sz w:val="25"/>
          <w:szCs w:val="25"/>
        </w:rPr>
      </w:pPr>
      <w:r>
        <w:rPr>
          <w:b/>
          <w:sz w:val="25"/>
          <w:szCs w:val="25"/>
        </w:rPr>
        <w:t>24. Налог на добавленную стоимость</w:t>
      </w:r>
    </w:p>
    <w:p w14:paraId="7DD15A11">
      <w:pPr>
        <w:pStyle w:val="20"/>
        <w:ind w:firstLine="567"/>
        <w:jc w:val="center"/>
        <w:rPr>
          <w:b/>
          <w:sz w:val="25"/>
          <w:szCs w:val="25"/>
        </w:rPr>
      </w:pPr>
    </w:p>
    <w:p w14:paraId="58CCA68C">
      <w:pPr>
        <w:pStyle w:val="20"/>
        <w:ind w:firstLine="567"/>
        <w:jc w:val="both"/>
        <w:rPr>
          <w:sz w:val="25"/>
          <w:szCs w:val="25"/>
        </w:rPr>
      </w:pPr>
      <w:r>
        <w:rPr>
          <w:sz w:val="25"/>
          <w:szCs w:val="25"/>
        </w:rPr>
        <w:t>Администрация не является плательщиком налога на добавленную стоимость.</w:t>
      </w:r>
    </w:p>
    <w:p w14:paraId="2B4579F3">
      <w:pPr>
        <w:pStyle w:val="20"/>
        <w:ind w:firstLine="567"/>
        <w:jc w:val="both"/>
        <w:rPr>
          <w:sz w:val="25"/>
          <w:szCs w:val="25"/>
        </w:rPr>
      </w:pPr>
      <w:r>
        <w:rPr>
          <w:sz w:val="25"/>
          <w:szCs w:val="25"/>
        </w:rPr>
        <w:t xml:space="preserve">     По истечении каждого отчетного и налогового периода представляет в ИФНС № 15 налоговые декларации по налогу на добавленную стоимость независимо от наличия обязанности по уплате налога.</w:t>
      </w:r>
    </w:p>
    <w:p w14:paraId="7CBB8990">
      <w:pPr>
        <w:pStyle w:val="20"/>
        <w:ind w:firstLine="567"/>
        <w:jc w:val="both"/>
        <w:rPr>
          <w:sz w:val="25"/>
          <w:szCs w:val="25"/>
        </w:rPr>
      </w:pPr>
    </w:p>
    <w:p w14:paraId="26E5DFEF">
      <w:pPr>
        <w:pStyle w:val="20"/>
        <w:ind w:firstLine="567"/>
        <w:jc w:val="center"/>
        <w:rPr>
          <w:b/>
          <w:sz w:val="25"/>
          <w:szCs w:val="25"/>
        </w:rPr>
      </w:pPr>
      <w:r>
        <w:rPr>
          <w:b/>
          <w:sz w:val="25"/>
          <w:szCs w:val="25"/>
        </w:rPr>
        <w:t>25. Налог на прибыль организаций</w:t>
      </w:r>
    </w:p>
    <w:p w14:paraId="69EAB4DE">
      <w:pPr>
        <w:pStyle w:val="20"/>
        <w:ind w:firstLine="567"/>
        <w:jc w:val="center"/>
        <w:rPr>
          <w:b/>
          <w:sz w:val="25"/>
          <w:szCs w:val="25"/>
        </w:rPr>
      </w:pPr>
    </w:p>
    <w:p w14:paraId="5AE3FA1A">
      <w:pPr>
        <w:pStyle w:val="20"/>
        <w:ind w:firstLine="567"/>
        <w:jc w:val="both"/>
        <w:rPr>
          <w:sz w:val="25"/>
          <w:szCs w:val="25"/>
        </w:rPr>
      </w:pPr>
      <w:r>
        <w:rPr>
          <w:sz w:val="25"/>
          <w:szCs w:val="25"/>
        </w:rPr>
        <w:t>У Администрация не возникает обязательств по уплате налога на прибыль организаций.</w:t>
      </w:r>
    </w:p>
    <w:p w14:paraId="02960015">
      <w:pPr>
        <w:pStyle w:val="20"/>
        <w:ind w:firstLine="567"/>
        <w:jc w:val="both"/>
        <w:rPr>
          <w:sz w:val="25"/>
          <w:szCs w:val="25"/>
        </w:rPr>
      </w:pPr>
      <w:r>
        <w:rPr>
          <w:sz w:val="25"/>
          <w:szCs w:val="25"/>
        </w:rPr>
        <w:t xml:space="preserve">     По истечении каждого отчетного и налогового периода представляет в ИФНС №15 налоговые декларации по налогу на прибыль организаций независимо от наличия обязанности по уплате налога.</w:t>
      </w:r>
    </w:p>
    <w:p w14:paraId="02144244">
      <w:pPr>
        <w:pStyle w:val="20"/>
        <w:ind w:firstLine="567"/>
        <w:jc w:val="both"/>
        <w:rPr>
          <w:sz w:val="25"/>
          <w:szCs w:val="25"/>
        </w:rPr>
      </w:pPr>
    </w:p>
    <w:p w14:paraId="37B388F5">
      <w:pPr>
        <w:pStyle w:val="20"/>
        <w:ind w:firstLine="567"/>
        <w:jc w:val="center"/>
        <w:rPr>
          <w:b/>
          <w:sz w:val="25"/>
          <w:szCs w:val="25"/>
        </w:rPr>
      </w:pPr>
      <w:r>
        <w:rPr>
          <w:b/>
          <w:sz w:val="25"/>
          <w:szCs w:val="25"/>
        </w:rPr>
        <w:t>26. Представление налоговой отчетности</w:t>
      </w:r>
    </w:p>
    <w:p w14:paraId="4CA0B74D">
      <w:pPr>
        <w:pStyle w:val="20"/>
        <w:ind w:firstLine="567"/>
        <w:jc w:val="center"/>
        <w:rPr>
          <w:b/>
          <w:sz w:val="25"/>
          <w:szCs w:val="25"/>
        </w:rPr>
      </w:pPr>
    </w:p>
    <w:p w14:paraId="61FFFC51">
      <w:pPr>
        <w:pStyle w:val="20"/>
        <w:ind w:firstLine="567"/>
        <w:jc w:val="both"/>
        <w:rPr>
          <w:sz w:val="25"/>
          <w:szCs w:val="25"/>
        </w:rPr>
      </w:pPr>
      <w:r>
        <w:rPr>
          <w:sz w:val="25"/>
          <w:szCs w:val="25"/>
        </w:rPr>
        <w:t xml:space="preserve">Налоговая отчетность в налоговые органы и отчетность во внебюджетные фонды представляется в электронном виде по телекоммуникационным каналам связи через систему «СБИС» с применением квалифицированной электронной цифровой подписи. </w:t>
      </w:r>
    </w:p>
    <w:p w14:paraId="3653EA89">
      <w:pPr>
        <w:pStyle w:val="20"/>
        <w:ind w:firstLine="567"/>
        <w:jc w:val="both"/>
        <w:rPr>
          <w:sz w:val="25"/>
          <w:szCs w:val="25"/>
        </w:rPr>
      </w:pPr>
    </w:p>
    <w:p w14:paraId="01D48ABE">
      <w:pPr>
        <w:pStyle w:val="20"/>
        <w:ind w:firstLine="567"/>
        <w:jc w:val="center"/>
        <w:rPr>
          <w:b/>
          <w:sz w:val="25"/>
          <w:szCs w:val="25"/>
        </w:rPr>
      </w:pPr>
    </w:p>
    <w:p w14:paraId="4B543B0E">
      <w:pPr>
        <w:pStyle w:val="20"/>
        <w:ind w:firstLine="567"/>
        <w:jc w:val="center"/>
        <w:rPr>
          <w:b/>
          <w:sz w:val="25"/>
          <w:szCs w:val="25"/>
        </w:rPr>
      </w:pPr>
      <w:r>
        <w:rPr>
          <w:b/>
          <w:sz w:val="25"/>
          <w:szCs w:val="25"/>
        </w:rPr>
        <w:t>28. Изменение учетной политики</w:t>
      </w:r>
    </w:p>
    <w:p w14:paraId="35BEFE78">
      <w:pPr>
        <w:pStyle w:val="20"/>
        <w:ind w:firstLine="567"/>
        <w:jc w:val="center"/>
        <w:rPr>
          <w:b/>
          <w:sz w:val="25"/>
          <w:szCs w:val="25"/>
        </w:rPr>
      </w:pPr>
    </w:p>
    <w:p w14:paraId="5C277206">
      <w:pPr>
        <w:pStyle w:val="20"/>
        <w:ind w:firstLine="567"/>
        <w:jc w:val="both"/>
        <w:rPr>
          <w:sz w:val="25"/>
          <w:szCs w:val="25"/>
        </w:rPr>
      </w:pPr>
      <w:r>
        <w:rPr>
          <w:sz w:val="25"/>
          <w:szCs w:val="25"/>
        </w:rPr>
        <w:t>Учетная политика для целей бухгалтерского учета и налогообложения применяется с момента ее действия и во все последующие отчетные периоды. Изменения в учетную политику для целей бухгалтерского учета вносятся в установленном порядке с начала финансового года, и в случае изменения законодательства Российской Федерации и нормативных актов по бухгалтерскому учету, а также существенных изменений в деятельности администрации.</w:t>
      </w:r>
    </w:p>
    <w:p w14:paraId="3314896C">
      <w:pPr>
        <w:pStyle w:val="20"/>
        <w:ind w:firstLine="567"/>
        <w:jc w:val="both"/>
        <w:rPr>
          <w:sz w:val="25"/>
          <w:szCs w:val="25"/>
        </w:rPr>
      </w:pPr>
    </w:p>
    <w:p w14:paraId="385E0CDB">
      <w:pPr>
        <w:pStyle w:val="20"/>
        <w:ind w:firstLine="567"/>
        <w:jc w:val="both"/>
        <w:rPr>
          <w:sz w:val="25"/>
          <w:szCs w:val="25"/>
        </w:rPr>
      </w:pPr>
    </w:p>
    <w:p w14:paraId="697F3F4B">
      <w:pPr>
        <w:pStyle w:val="20"/>
        <w:ind w:firstLine="567"/>
        <w:jc w:val="both"/>
        <w:rPr>
          <w:sz w:val="25"/>
          <w:szCs w:val="25"/>
        </w:rPr>
      </w:pPr>
    </w:p>
    <w:p w14:paraId="297719D8">
      <w:pPr>
        <w:pStyle w:val="20"/>
        <w:ind w:firstLine="567"/>
        <w:jc w:val="both"/>
        <w:rPr>
          <w:sz w:val="25"/>
          <w:szCs w:val="25"/>
        </w:rPr>
      </w:pPr>
    </w:p>
    <w:p w14:paraId="21BA4D5A">
      <w:pPr>
        <w:pStyle w:val="20"/>
        <w:ind w:firstLine="567"/>
        <w:jc w:val="both"/>
        <w:rPr>
          <w:sz w:val="25"/>
          <w:szCs w:val="25"/>
        </w:rPr>
      </w:pPr>
    </w:p>
    <w:p w14:paraId="34AEEEAA">
      <w:pPr>
        <w:pStyle w:val="20"/>
        <w:ind w:firstLine="567"/>
        <w:jc w:val="both"/>
        <w:rPr>
          <w:sz w:val="25"/>
          <w:szCs w:val="25"/>
        </w:rPr>
      </w:pPr>
    </w:p>
    <w:p w14:paraId="50F56563">
      <w:pPr>
        <w:pStyle w:val="20"/>
        <w:jc w:val="both"/>
        <w:rPr>
          <w:sz w:val="25"/>
          <w:szCs w:val="25"/>
        </w:rPr>
      </w:pPr>
    </w:p>
    <w:p w14:paraId="5E1F63E2">
      <w:pPr>
        <w:pStyle w:val="20"/>
        <w:jc w:val="both"/>
        <w:rPr>
          <w:sz w:val="25"/>
          <w:szCs w:val="25"/>
        </w:rPr>
      </w:pPr>
    </w:p>
    <w:p w14:paraId="713E5B9F">
      <w:pPr>
        <w:pStyle w:val="20"/>
        <w:jc w:val="both"/>
        <w:rPr>
          <w:sz w:val="25"/>
          <w:szCs w:val="25"/>
        </w:rPr>
      </w:pPr>
    </w:p>
    <w:sectPr>
      <w:headerReference r:id="rId3" w:type="even"/>
      <w:pgSz w:w="11906" w:h="16838"/>
      <w:pgMar w:top="851" w:right="851" w:bottom="1134" w:left="1418" w:header="720" w:footer="720"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Microsoft Sans Serif">
    <w:panose1 w:val="020B0604020202020204"/>
    <w:charset w:val="CC"/>
    <w:family w:val="swiss"/>
    <w:pitch w:val="default"/>
    <w:sig w:usb0="E5002EFF" w:usb1="C000605B" w:usb2="00000029" w:usb3="00000000" w:csb0="200101FF" w:csb1="20280000"/>
  </w:font>
  <w:font w:name="Calibri">
    <w:panose1 w:val="020F0502020204030204"/>
    <w:charset w:val="CC"/>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661DF">
    <w:pPr>
      <w:pStyle w:val="9"/>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lang/>
      </w:rPr>
      <w:t>1</w:t>
    </w:r>
    <w:r>
      <w:rPr>
        <w:rStyle w:val="7"/>
      </w:rPr>
      <w:fldChar w:fldCharType="end"/>
    </w:r>
  </w:p>
  <w:p w14:paraId="6DB53346">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isplayHorizontalDrawingGridEvery w:val="0"/>
  <w:displayVerticalDrawingGridEvery w:val="0"/>
  <w:doNotUseMarginsForDrawingGridOrigin w:val="1"/>
  <w:drawingGridHorizontalOrigin w:val="1701"/>
  <w:drawingGridVerticalOrigin w:val="1984"/>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86A"/>
    <w:rsid w:val="00001531"/>
    <w:rsid w:val="00002E3F"/>
    <w:rsid w:val="0000382C"/>
    <w:rsid w:val="000048FC"/>
    <w:rsid w:val="00004A37"/>
    <w:rsid w:val="000050D9"/>
    <w:rsid w:val="0000588C"/>
    <w:rsid w:val="0000663A"/>
    <w:rsid w:val="00010748"/>
    <w:rsid w:val="00011D8E"/>
    <w:rsid w:val="000122CF"/>
    <w:rsid w:val="00012684"/>
    <w:rsid w:val="000126C2"/>
    <w:rsid w:val="000127AB"/>
    <w:rsid w:val="00016853"/>
    <w:rsid w:val="00016F71"/>
    <w:rsid w:val="000204F0"/>
    <w:rsid w:val="00020C7B"/>
    <w:rsid w:val="00021250"/>
    <w:rsid w:val="0002186C"/>
    <w:rsid w:val="0002401B"/>
    <w:rsid w:val="00024BDB"/>
    <w:rsid w:val="000251E9"/>
    <w:rsid w:val="00026C04"/>
    <w:rsid w:val="0003045A"/>
    <w:rsid w:val="000306AB"/>
    <w:rsid w:val="00030CB9"/>
    <w:rsid w:val="00031018"/>
    <w:rsid w:val="0003429B"/>
    <w:rsid w:val="00034F1B"/>
    <w:rsid w:val="000405F7"/>
    <w:rsid w:val="00040E80"/>
    <w:rsid w:val="00044889"/>
    <w:rsid w:val="00044F65"/>
    <w:rsid w:val="00045EAD"/>
    <w:rsid w:val="000472E8"/>
    <w:rsid w:val="000505CD"/>
    <w:rsid w:val="000517E8"/>
    <w:rsid w:val="00052113"/>
    <w:rsid w:val="00052321"/>
    <w:rsid w:val="000525D2"/>
    <w:rsid w:val="000548B4"/>
    <w:rsid w:val="00055D08"/>
    <w:rsid w:val="00057A5D"/>
    <w:rsid w:val="000637FD"/>
    <w:rsid w:val="00064F39"/>
    <w:rsid w:val="00065BDA"/>
    <w:rsid w:val="00067594"/>
    <w:rsid w:val="00067773"/>
    <w:rsid w:val="00067BFD"/>
    <w:rsid w:val="00070D02"/>
    <w:rsid w:val="000714B1"/>
    <w:rsid w:val="00071DA9"/>
    <w:rsid w:val="00072484"/>
    <w:rsid w:val="00072670"/>
    <w:rsid w:val="00072B04"/>
    <w:rsid w:val="00072C5A"/>
    <w:rsid w:val="000730B2"/>
    <w:rsid w:val="00075340"/>
    <w:rsid w:val="000766AD"/>
    <w:rsid w:val="00077A3F"/>
    <w:rsid w:val="00080216"/>
    <w:rsid w:val="00081204"/>
    <w:rsid w:val="00082ED0"/>
    <w:rsid w:val="00082FB0"/>
    <w:rsid w:val="000845DD"/>
    <w:rsid w:val="000874BB"/>
    <w:rsid w:val="000922D4"/>
    <w:rsid w:val="00092677"/>
    <w:rsid w:val="00093CD5"/>
    <w:rsid w:val="000943D9"/>
    <w:rsid w:val="00095DB0"/>
    <w:rsid w:val="000A0BAE"/>
    <w:rsid w:val="000A0DCE"/>
    <w:rsid w:val="000A0F95"/>
    <w:rsid w:val="000A2A14"/>
    <w:rsid w:val="000A3C48"/>
    <w:rsid w:val="000A500F"/>
    <w:rsid w:val="000A5483"/>
    <w:rsid w:val="000A69F2"/>
    <w:rsid w:val="000A7261"/>
    <w:rsid w:val="000B107C"/>
    <w:rsid w:val="000B1FC0"/>
    <w:rsid w:val="000B2025"/>
    <w:rsid w:val="000B3A0B"/>
    <w:rsid w:val="000B3D29"/>
    <w:rsid w:val="000B6B67"/>
    <w:rsid w:val="000C298D"/>
    <w:rsid w:val="000C4858"/>
    <w:rsid w:val="000C4AB1"/>
    <w:rsid w:val="000C7465"/>
    <w:rsid w:val="000C7F3F"/>
    <w:rsid w:val="000D11DA"/>
    <w:rsid w:val="000D2652"/>
    <w:rsid w:val="000D41E9"/>
    <w:rsid w:val="000D5EC0"/>
    <w:rsid w:val="000E034C"/>
    <w:rsid w:val="000E0DD8"/>
    <w:rsid w:val="000E107C"/>
    <w:rsid w:val="000E37ED"/>
    <w:rsid w:val="000E4DC6"/>
    <w:rsid w:val="000E557A"/>
    <w:rsid w:val="000E6380"/>
    <w:rsid w:val="000E652D"/>
    <w:rsid w:val="000E662F"/>
    <w:rsid w:val="000E67A7"/>
    <w:rsid w:val="000F2FD2"/>
    <w:rsid w:val="000F3758"/>
    <w:rsid w:val="00100765"/>
    <w:rsid w:val="00101A48"/>
    <w:rsid w:val="001021B6"/>
    <w:rsid w:val="0010338D"/>
    <w:rsid w:val="001033C2"/>
    <w:rsid w:val="001041A6"/>
    <w:rsid w:val="00104C54"/>
    <w:rsid w:val="00106AEB"/>
    <w:rsid w:val="00111878"/>
    <w:rsid w:val="0011457C"/>
    <w:rsid w:val="0011670D"/>
    <w:rsid w:val="0012272E"/>
    <w:rsid w:val="00122D99"/>
    <w:rsid w:val="00123446"/>
    <w:rsid w:val="00123AAD"/>
    <w:rsid w:val="00123B25"/>
    <w:rsid w:val="0012461D"/>
    <w:rsid w:val="00124734"/>
    <w:rsid w:val="00125372"/>
    <w:rsid w:val="00125D69"/>
    <w:rsid w:val="00125F39"/>
    <w:rsid w:val="00130903"/>
    <w:rsid w:val="00130A53"/>
    <w:rsid w:val="00132776"/>
    <w:rsid w:val="00132FF0"/>
    <w:rsid w:val="00134C5D"/>
    <w:rsid w:val="0014008B"/>
    <w:rsid w:val="00140C79"/>
    <w:rsid w:val="0014259A"/>
    <w:rsid w:val="00142CF1"/>
    <w:rsid w:val="00144819"/>
    <w:rsid w:val="00153A26"/>
    <w:rsid w:val="00154C12"/>
    <w:rsid w:val="00155303"/>
    <w:rsid w:val="00155804"/>
    <w:rsid w:val="0015740A"/>
    <w:rsid w:val="00157C9A"/>
    <w:rsid w:val="00160314"/>
    <w:rsid w:val="00160352"/>
    <w:rsid w:val="00160728"/>
    <w:rsid w:val="0016156C"/>
    <w:rsid w:val="00161C71"/>
    <w:rsid w:val="0016248B"/>
    <w:rsid w:val="00163EE5"/>
    <w:rsid w:val="00164AAC"/>
    <w:rsid w:val="001656B8"/>
    <w:rsid w:val="0016657B"/>
    <w:rsid w:val="00166774"/>
    <w:rsid w:val="00166A72"/>
    <w:rsid w:val="00167B7A"/>
    <w:rsid w:val="001703B1"/>
    <w:rsid w:val="00171BC7"/>
    <w:rsid w:val="001724A9"/>
    <w:rsid w:val="001724C4"/>
    <w:rsid w:val="00172B99"/>
    <w:rsid w:val="00174715"/>
    <w:rsid w:val="00174E31"/>
    <w:rsid w:val="00175529"/>
    <w:rsid w:val="0017657C"/>
    <w:rsid w:val="0017698A"/>
    <w:rsid w:val="001770C1"/>
    <w:rsid w:val="001860FE"/>
    <w:rsid w:val="00191875"/>
    <w:rsid w:val="0019481A"/>
    <w:rsid w:val="00196B0D"/>
    <w:rsid w:val="0019766A"/>
    <w:rsid w:val="001A0E90"/>
    <w:rsid w:val="001A2AE0"/>
    <w:rsid w:val="001A49AE"/>
    <w:rsid w:val="001A5633"/>
    <w:rsid w:val="001A6D8D"/>
    <w:rsid w:val="001A7E1E"/>
    <w:rsid w:val="001B0930"/>
    <w:rsid w:val="001B2102"/>
    <w:rsid w:val="001B3A7B"/>
    <w:rsid w:val="001B3CD1"/>
    <w:rsid w:val="001B3DBA"/>
    <w:rsid w:val="001B5A0C"/>
    <w:rsid w:val="001B5F5B"/>
    <w:rsid w:val="001B611F"/>
    <w:rsid w:val="001B66BB"/>
    <w:rsid w:val="001B6B42"/>
    <w:rsid w:val="001C0616"/>
    <w:rsid w:val="001C10A3"/>
    <w:rsid w:val="001C30E2"/>
    <w:rsid w:val="001C4872"/>
    <w:rsid w:val="001C5505"/>
    <w:rsid w:val="001C55BF"/>
    <w:rsid w:val="001C5D72"/>
    <w:rsid w:val="001C7351"/>
    <w:rsid w:val="001D0B5D"/>
    <w:rsid w:val="001D3CB4"/>
    <w:rsid w:val="001D4C5E"/>
    <w:rsid w:val="001D4CF0"/>
    <w:rsid w:val="001D5A65"/>
    <w:rsid w:val="001D62F0"/>
    <w:rsid w:val="001D7649"/>
    <w:rsid w:val="001E02CE"/>
    <w:rsid w:val="001E0FAF"/>
    <w:rsid w:val="001E2445"/>
    <w:rsid w:val="001E4DA2"/>
    <w:rsid w:val="001F0038"/>
    <w:rsid w:val="001F083D"/>
    <w:rsid w:val="001F2146"/>
    <w:rsid w:val="001F33E2"/>
    <w:rsid w:val="001F3DB7"/>
    <w:rsid w:val="001F4322"/>
    <w:rsid w:val="001F4959"/>
    <w:rsid w:val="001F55EB"/>
    <w:rsid w:val="001F6B5D"/>
    <w:rsid w:val="001F7354"/>
    <w:rsid w:val="001F73B3"/>
    <w:rsid w:val="0020254A"/>
    <w:rsid w:val="00204C3D"/>
    <w:rsid w:val="00206511"/>
    <w:rsid w:val="00210F2E"/>
    <w:rsid w:val="002110A2"/>
    <w:rsid w:val="00211723"/>
    <w:rsid w:val="00212CAE"/>
    <w:rsid w:val="00213CC1"/>
    <w:rsid w:val="002177E3"/>
    <w:rsid w:val="00217C27"/>
    <w:rsid w:val="00221A4B"/>
    <w:rsid w:val="00222921"/>
    <w:rsid w:val="002229E6"/>
    <w:rsid w:val="002243A1"/>
    <w:rsid w:val="00225573"/>
    <w:rsid w:val="002255E5"/>
    <w:rsid w:val="00225E5A"/>
    <w:rsid w:val="002270CA"/>
    <w:rsid w:val="002279D8"/>
    <w:rsid w:val="00227E4F"/>
    <w:rsid w:val="00231B41"/>
    <w:rsid w:val="002337F0"/>
    <w:rsid w:val="00233A5F"/>
    <w:rsid w:val="00234252"/>
    <w:rsid w:val="00234D44"/>
    <w:rsid w:val="0023684E"/>
    <w:rsid w:val="002402BF"/>
    <w:rsid w:val="00240940"/>
    <w:rsid w:val="00241ABB"/>
    <w:rsid w:val="00243D66"/>
    <w:rsid w:val="0024417D"/>
    <w:rsid w:val="00244CCB"/>
    <w:rsid w:val="00244CD5"/>
    <w:rsid w:val="002503D5"/>
    <w:rsid w:val="00251582"/>
    <w:rsid w:val="002537DD"/>
    <w:rsid w:val="002540CC"/>
    <w:rsid w:val="0025468A"/>
    <w:rsid w:val="00256BA8"/>
    <w:rsid w:val="0025764B"/>
    <w:rsid w:val="00260CD1"/>
    <w:rsid w:val="00261707"/>
    <w:rsid w:val="002637ED"/>
    <w:rsid w:val="00265B1D"/>
    <w:rsid w:val="00265D05"/>
    <w:rsid w:val="00275DF1"/>
    <w:rsid w:val="002764CB"/>
    <w:rsid w:val="002808F1"/>
    <w:rsid w:val="002837C4"/>
    <w:rsid w:val="00283D9E"/>
    <w:rsid w:val="00284835"/>
    <w:rsid w:val="002854BA"/>
    <w:rsid w:val="00285B1E"/>
    <w:rsid w:val="00291223"/>
    <w:rsid w:val="00291672"/>
    <w:rsid w:val="00293085"/>
    <w:rsid w:val="00293FEA"/>
    <w:rsid w:val="0029739A"/>
    <w:rsid w:val="002A17BF"/>
    <w:rsid w:val="002A184F"/>
    <w:rsid w:val="002A187F"/>
    <w:rsid w:val="002A3063"/>
    <w:rsid w:val="002A3588"/>
    <w:rsid w:val="002A51EE"/>
    <w:rsid w:val="002A569D"/>
    <w:rsid w:val="002B1F0A"/>
    <w:rsid w:val="002B4CBA"/>
    <w:rsid w:val="002B6156"/>
    <w:rsid w:val="002B6D71"/>
    <w:rsid w:val="002C09D7"/>
    <w:rsid w:val="002C1DC1"/>
    <w:rsid w:val="002C2835"/>
    <w:rsid w:val="002C3163"/>
    <w:rsid w:val="002C3418"/>
    <w:rsid w:val="002C3591"/>
    <w:rsid w:val="002C6065"/>
    <w:rsid w:val="002C6367"/>
    <w:rsid w:val="002C64D3"/>
    <w:rsid w:val="002C74DB"/>
    <w:rsid w:val="002C7D7B"/>
    <w:rsid w:val="002D14AE"/>
    <w:rsid w:val="002D2EA4"/>
    <w:rsid w:val="002D38A9"/>
    <w:rsid w:val="002D542C"/>
    <w:rsid w:val="002D5B88"/>
    <w:rsid w:val="002D6B1E"/>
    <w:rsid w:val="002D7B00"/>
    <w:rsid w:val="002E0511"/>
    <w:rsid w:val="002E0BAB"/>
    <w:rsid w:val="002E1517"/>
    <w:rsid w:val="002E1C40"/>
    <w:rsid w:val="002E341A"/>
    <w:rsid w:val="002E495A"/>
    <w:rsid w:val="002E5C79"/>
    <w:rsid w:val="002F097E"/>
    <w:rsid w:val="002F1117"/>
    <w:rsid w:val="002F20D6"/>
    <w:rsid w:val="002F210D"/>
    <w:rsid w:val="002F68E3"/>
    <w:rsid w:val="00300855"/>
    <w:rsid w:val="00301DAE"/>
    <w:rsid w:val="003023BF"/>
    <w:rsid w:val="00306C52"/>
    <w:rsid w:val="003074F8"/>
    <w:rsid w:val="00310253"/>
    <w:rsid w:val="0031054F"/>
    <w:rsid w:val="00310753"/>
    <w:rsid w:val="00311EE2"/>
    <w:rsid w:val="00314B89"/>
    <w:rsid w:val="00317256"/>
    <w:rsid w:val="00317BA1"/>
    <w:rsid w:val="00320943"/>
    <w:rsid w:val="0032162E"/>
    <w:rsid w:val="00322607"/>
    <w:rsid w:val="00324F89"/>
    <w:rsid w:val="0032502F"/>
    <w:rsid w:val="00325F7F"/>
    <w:rsid w:val="00331323"/>
    <w:rsid w:val="00331FBA"/>
    <w:rsid w:val="0033217F"/>
    <w:rsid w:val="00332A04"/>
    <w:rsid w:val="0033445B"/>
    <w:rsid w:val="00337FFC"/>
    <w:rsid w:val="0034036C"/>
    <w:rsid w:val="003407CF"/>
    <w:rsid w:val="003410CB"/>
    <w:rsid w:val="00341649"/>
    <w:rsid w:val="0034186F"/>
    <w:rsid w:val="00343827"/>
    <w:rsid w:val="00343BAC"/>
    <w:rsid w:val="00343F0D"/>
    <w:rsid w:val="00344277"/>
    <w:rsid w:val="0034646D"/>
    <w:rsid w:val="003470F8"/>
    <w:rsid w:val="00350345"/>
    <w:rsid w:val="003509ED"/>
    <w:rsid w:val="00352CA9"/>
    <w:rsid w:val="0035314C"/>
    <w:rsid w:val="00353BA1"/>
    <w:rsid w:val="00355922"/>
    <w:rsid w:val="003559CE"/>
    <w:rsid w:val="003564C7"/>
    <w:rsid w:val="00356FFB"/>
    <w:rsid w:val="0035729C"/>
    <w:rsid w:val="00357919"/>
    <w:rsid w:val="00362381"/>
    <w:rsid w:val="00362F0D"/>
    <w:rsid w:val="00362F6C"/>
    <w:rsid w:val="00363073"/>
    <w:rsid w:val="00364473"/>
    <w:rsid w:val="003658B5"/>
    <w:rsid w:val="00366486"/>
    <w:rsid w:val="003709DC"/>
    <w:rsid w:val="00370AA7"/>
    <w:rsid w:val="003711F4"/>
    <w:rsid w:val="00371407"/>
    <w:rsid w:val="003714F7"/>
    <w:rsid w:val="0037311F"/>
    <w:rsid w:val="00375358"/>
    <w:rsid w:val="00375D25"/>
    <w:rsid w:val="003801C4"/>
    <w:rsid w:val="003834EE"/>
    <w:rsid w:val="00383BBD"/>
    <w:rsid w:val="003843BE"/>
    <w:rsid w:val="0039133C"/>
    <w:rsid w:val="003927D6"/>
    <w:rsid w:val="00393D2B"/>
    <w:rsid w:val="0039453E"/>
    <w:rsid w:val="0039515B"/>
    <w:rsid w:val="003965B2"/>
    <w:rsid w:val="003A0F99"/>
    <w:rsid w:val="003A45F0"/>
    <w:rsid w:val="003A5544"/>
    <w:rsid w:val="003A6282"/>
    <w:rsid w:val="003A7544"/>
    <w:rsid w:val="003A781B"/>
    <w:rsid w:val="003B0498"/>
    <w:rsid w:val="003B1551"/>
    <w:rsid w:val="003B1934"/>
    <w:rsid w:val="003B4623"/>
    <w:rsid w:val="003B5E23"/>
    <w:rsid w:val="003C1B66"/>
    <w:rsid w:val="003C1FB7"/>
    <w:rsid w:val="003C3266"/>
    <w:rsid w:val="003C5B49"/>
    <w:rsid w:val="003C70D6"/>
    <w:rsid w:val="003C7D95"/>
    <w:rsid w:val="003D617C"/>
    <w:rsid w:val="003D6F29"/>
    <w:rsid w:val="003D733B"/>
    <w:rsid w:val="003D7CA3"/>
    <w:rsid w:val="003D7E17"/>
    <w:rsid w:val="003E1153"/>
    <w:rsid w:val="003E1F7A"/>
    <w:rsid w:val="003E4244"/>
    <w:rsid w:val="003E6079"/>
    <w:rsid w:val="003E79E8"/>
    <w:rsid w:val="003F12D5"/>
    <w:rsid w:val="003F2B8E"/>
    <w:rsid w:val="003F2C0F"/>
    <w:rsid w:val="003F35F3"/>
    <w:rsid w:val="003F58E4"/>
    <w:rsid w:val="003F6CFE"/>
    <w:rsid w:val="003F759E"/>
    <w:rsid w:val="00402D1D"/>
    <w:rsid w:val="00404082"/>
    <w:rsid w:val="0040438C"/>
    <w:rsid w:val="00407587"/>
    <w:rsid w:val="00410A01"/>
    <w:rsid w:val="0041180E"/>
    <w:rsid w:val="00412FE4"/>
    <w:rsid w:val="00413380"/>
    <w:rsid w:val="004145D5"/>
    <w:rsid w:val="0041605D"/>
    <w:rsid w:val="004166DC"/>
    <w:rsid w:val="0041750E"/>
    <w:rsid w:val="004205AC"/>
    <w:rsid w:val="00420995"/>
    <w:rsid w:val="00420C51"/>
    <w:rsid w:val="004212B6"/>
    <w:rsid w:val="00424373"/>
    <w:rsid w:val="004262E6"/>
    <w:rsid w:val="00431E95"/>
    <w:rsid w:val="004321FF"/>
    <w:rsid w:val="00433334"/>
    <w:rsid w:val="00436608"/>
    <w:rsid w:val="00436E98"/>
    <w:rsid w:val="0044125C"/>
    <w:rsid w:val="00447FEA"/>
    <w:rsid w:val="00450CA4"/>
    <w:rsid w:val="004516CB"/>
    <w:rsid w:val="00451A93"/>
    <w:rsid w:val="00452208"/>
    <w:rsid w:val="00453B4B"/>
    <w:rsid w:val="00455AD9"/>
    <w:rsid w:val="004568CF"/>
    <w:rsid w:val="004569F6"/>
    <w:rsid w:val="00456BA2"/>
    <w:rsid w:val="00461589"/>
    <w:rsid w:val="004621C5"/>
    <w:rsid w:val="00464249"/>
    <w:rsid w:val="0046439B"/>
    <w:rsid w:val="004648B5"/>
    <w:rsid w:val="004655CC"/>
    <w:rsid w:val="00465DFF"/>
    <w:rsid w:val="0046635B"/>
    <w:rsid w:val="004666F3"/>
    <w:rsid w:val="00470A2E"/>
    <w:rsid w:val="00471756"/>
    <w:rsid w:val="00472D22"/>
    <w:rsid w:val="004737B0"/>
    <w:rsid w:val="00473B36"/>
    <w:rsid w:val="00475515"/>
    <w:rsid w:val="00475A07"/>
    <w:rsid w:val="0048028F"/>
    <w:rsid w:val="00481848"/>
    <w:rsid w:val="00481B2C"/>
    <w:rsid w:val="0048387E"/>
    <w:rsid w:val="00484120"/>
    <w:rsid w:val="00486C4F"/>
    <w:rsid w:val="004877DD"/>
    <w:rsid w:val="00487ACF"/>
    <w:rsid w:val="00487FBA"/>
    <w:rsid w:val="004914FB"/>
    <w:rsid w:val="00494857"/>
    <w:rsid w:val="00495D52"/>
    <w:rsid w:val="00497B43"/>
    <w:rsid w:val="004A199F"/>
    <w:rsid w:val="004A2E72"/>
    <w:rsid w:val="004A3032"/>
    <w:rsid w:val="004A387E"/>
    <w:rsid w:val="004A3B54"/>
    <w:rsid w:val="004A67B1"/>
    <w:rsid w:val="004A6DC8"/>
    <w:rsid w:val="004A7D83"/>
    <w:rsid w:val="004B0C58"/>
    <w:rsid w:val="004B0DB2"/>
    <w:rsid w:val="004B175A"/>
    <w:rsid w:val="004B25BB"/>
    <w:rsid w:val="004B4DF5"/>
    <w:rsid w:val="004B582A"/>
    <w:rsid w:val="004C0A3D"/>
    <w:rsid w:val="004C15F6"/>
    <w:rsid w:val="004C1B5F"/>
    <w:rsid w:val="004C200B"/>
    <w:rsid w:val="004C37C7"/>
    <w:rsid w:val="004C5C8B"/>
    <w:rsid w:val="004C5CDE"/>
    <w:rsid w:val="004C6B32"/>
    <w:rsid w:val="004D1286"/>
    <w:rsid w:val="004D1E3D"/>
    <w:rsid w:val="004D2E1C"/>
    <w:rsid w:val="004D376C"/>
    <w:rsid w:val="004D3836"/>
    <w:rsid w:val="004D3B1A"/>
    <w:rsid w:val="004D54E9"/>
    <w:rsid w:val="004D588D"/>
    <w:rsid w:val="004D6596"/>
    <w:rsid w:val="004E1FE4"/>
    <w:rsid w:val="004E2A7C"/>
    <w:rsid w:val="004E3CF7"/>
    <w:rsid w:val="004E3E14"/>
    <w:rsid w:val="004E463E"/>
    <w:rsid w:val="004E4FA6"/>
    <w:rsid w:val="004E5BFE"/>
    <w:rsid w:val="004E6530"/>
    <w:rsid w:val="004F06FD"/>
    <w:rsid w:val="004F34E4"/>
    <w:rsid w:val="004F3B75"/>
    <w:rsid w:val="004F4309"/>
    <w:rsid w:val="004F5521"/>
    <w:rsid w:val="004F5D7F"/>
    <w:rsid w:val="004F70A9"/>
    <w:rsid w:val="004F74BB"/>
    <w:rsid w:val="00502ECC"/>
    <w:rsid w:val="00502F3E"/>
    <w:rsid w:val="00503288"/>
    <w:rsid w:val="00503AB3"/>
    <w:rsid w:val="005065EB"/>
    <w:rsid w:val="005079BF"/>
    <w:rsid w:val="00510B9F"/>
    <w:rsid w:val="00511455"/>
    <w:rsid w:val="005121AC"/>
    <w:rsid w:val="00514083"/>
    <w:rsid w:val="005153A4"/>
    <w:rsid w:val="00517243"/>
    <w:rsid w:val="005179AF"/>
    <w:rsid w:val="005219C1"/>
    <w:rsid w:val="00523178"/>
    <w:rsid w:val="00523BDA"/>
    <w:rsid w:val="0052498F"/>
    <w:rsid w:val="00525FA5"/>
    <w:rsid w:val="005261CD"/>
    <w:rsid w:val="00526689"/>
    <w:rsid w:val="0053017D"/>
    <w:rsid w:val="005304F1"/>
    <w:rsid w:val="005310DB"/>
    <w:rsid w:val="00531141"/>
    <w:rsid w:val="005321CB"/>
    <w:rsid w:val="00533106"/>
    <w:rsid w:val="005359FB"/>
    <w:rsid w:val="00540A23"/>
    <w:rsid w:val="00541CB1"/>
    <w:rsid w:val="00541E8F"/>
    <w:rsid w:val="00541EB1"/>
    <w:rsid w:val="00543BCF"/>
    <w:rsid w:val="0054565D"/>
    <w:rsid w:val="005457B8"/>
    <w:rsid w:val="005523E9"/>
    <w:rsid w:val="00552638"/>
    <w:rsid w:val="00552A75"/>
    <w:rsid w:val="005547BE"/>
    <w:rsid w:val="005550F9"/>
    <w:rsid w:val="00556866"/>
    <w:rsid w:val="00557E5B"/>
    <w:rsid w:val="005610AD"/>
    <w:rsid w:val="00561E68"/>
    <w:rsid w:val="00563407"/>
    <w:rsid w:val="005635F1"/>
    <w:rsid w:val="0056584F"/>
    <w:rsid w:val="00565F1E"/>
    <w:rsid w:val="005660A6"/>
    <w:rsid w:val="00566784"/>
    <w:rsid w:val="00566BDF"/>
    <w:rsid w:val="00567781"/>
    <w:rsid w:val="005677A5"/>
    <w:rsid w:val="00567A12"/>
    <w:rsid w:val="00572020"/>
    <w:rsid w:val="0057202F"/>
    <w:rsid w:val="005735C3"/>
    <w:rsid w:val="00576F4F"/>
    <w:rsid w:val="00581219"/>
    <w:rsid w:val="00581DB3"/>
    <w:rsid w:val="00582752"/>
    <w:rsid w:val="00582757"/>
    <w:rsid w:val="005838CE"/>
    <w:rsid w:val="00583E67"/>
    <w:rsid w:val="00585026"/>
    <w:rsid w:val="00585154"/>
    <w:rsid w:val="00590178"/>
    <w:rsid w:val="00590A06"/>
    <w:rsid w:val="005931EE"/>
    <w:rsid w:val="005934A8"/>
    <w:rsid w:val="005947FD"/>
    <w:rsid w:val="00594E48"/>
    <w:rsid w:val="0059618E"/>
    <w:rsid w:val="00597031"/>
    <w:rsid w:val="005A0E71"/>
    <w:rsid w:val="005A3537"/>
    <w:rsid w:val="005A7393"/>
    <w:rsid w:val="005A74B3"/>
    <w:rsid w:val="005B10DF"/>
    <w:rsid w:val="005B2DE0"/>
    <w:rsid w:val="005B34FD"/>
    <w:rsid w:val="005B56E2"/>
    <w:rsid w:val="005B5818"/>
    <w:rsid w:val="005B7371"/>
    <w:rsid w:val="005B7973"/>
    <w:rsid w:val="005C010B"/>
    <w:rsid w:val="005C49B0"/>
    <w:rsid w:val="005C7AC6"/>
    <w:rsid w:val="005C7E4D"/>
    <w:rsid w:val="005D068C"/>
    <w:rsid w:val="005D0964"/>
    <w:rsid w:val="005D1BC2"/>
    <w:rsid w:val="005D31BC"/>
    <w:rsid w:val="005D5821"/>
    <w:rsid w:val="005D588B"/>
    <w:rsid w:val="005D7395"/>
    <w:rsid w:val="005E0743"/>
    <w:rsid w:val="005E08C8"/>
    <w:rsid w:val="005E1001"/>
    <w:rsid w:val="005E11A1"/>
    <w:rsid w:val="005E26CB"/>
    <w:rsid w:val="005E2BD9"/>
    <w:rsid w:val="005E5C67"/>
    <w:rsid w:val="005E70E2"/>
    <w:rsid w:val="005E7871"/>
    <w:rsid w:val="005F0E91"/>
    <w:rsid w:val="005F62D4"/>
    <w:rsid w:val="00600A13"/>
    <w:rsid w:val="00603207"/>
    <w:rsid w:val="00605643"/>
    <w:rsid w:val="006102D9"/>
    <w:rsid w:val="0061183D"/>
    <w:rsid w:val="00611A6F"/>
    <w:rsid w:val="00611E30"/>
    <w:rsid w:val="0061214F"/>
    <w:rsid w:val="00614471"/>
    <w:rsid w:val="00614E77"/>
    <w:rsid w:val="00615D1F"/>
    <w:rsid w:val="006167D4"/>
    <w:rsid w:val="0062473E"/>
    <w:rsid w:val="00627BCA"/>
    <w:rsid w:val="00630A6B"/>
    <w:rsid w:val="00632EB1"/>
    <w:rsid w:val="00633A3C"/>
    <w:rsid w:val="006349A2"/>
    <w:rsid w:val="00635E14"/>
    <w:rsid w:val="006361F6"/>
    <w:rsid w:val="00636875"/>
    <w:rsid w:val="00636878"/>
    <w:rsid w:val="0063754A"/>
    <w:rsid w:val="00641276"/>
    <w:rsid w:val="00641FC2"/>
    <w:rsid w:val="006421CC"/>
    <w:rsid w:val="006433F6"/>
    <w:rsid w:val="00643BEB"/>
    <w:rsid w:val="006440AF"/>
    <w:rsid w:val="00645211"/>
    <w:rsid w:val="00646160"/>
    <w:rsid w:val="00646478"/>
    <w:rsid w:val="006514AF"/>
    <w:rsid w:val="006516AB"/>
    <w:rsid w:val="006516DA"/>
    <w:rsid w:val="00652460"/>
    <w:rsid w:val="006547F2"/>
    <w:rsid w:val="0065595B"/>
    <w:rsid w:val="0065639B"/>
    <w:rsid w:val="0066038B"/>
    <w:rsid w:val="00660908"/>
    <w:rsid w:val="006614F9"/>
    <w:rsid w:val="00661FD4"/>
    <w:rsid w:val="00663382"/>
    <w:rsid w:val="0066356F"/>
    <w:rsid w:val="006636BE"/>
    <w:rsid w:val="00663772"/>
    <w:rsid w:val="006645BA"/>
    <w:rsid w:val="00665138"/>
    <w:rsid w:val="006660A7"/>
    <w:rsid w:val="00666202"/>
    <w:rsid w:val="006663A9"/>
    <w:rsid w:val="00681AB0"/>
    <w:rsid w:val="00683984"/>
    <w:rsid w:val="00683B15"/>
    <w:rsid w:val="00684F87"/>
    <w:rsid w:val="00686915"/>
    <w:rsid w:val="00686AE9"/>
    <w:rsid w:val="00686E03"/>
    <w:rsid w:val="0068740B"/>
    <w:rsid w:val="00690C1B"/>
    <w:rsid w:val="00692C2B"/>
    <w:rsid w:val="00693102"/>
    <w:rsid w:val="00693943"/>
    <w:rsid w:val="006941D2"/>
    <w:rsid w:val="0069440E"/>
    <w:rsid w:val="0069481B"/>
    <w:rsid w:val="00694F91"/>
    <w:rsid w:val="00695970"/>
    <w:rsid w:val="00697981"/>
    <w:rsid w:val="006A0CF5"/>
    <w:rsid w:val="006A0F99"/>
    <w:rsid w:val="006A1154"/>
    <w:rsid w:val="006A1605"/>
    <w:rsid w:val="006A2458"/>
    <w:rsid w:val="006A3CD5"/>
    <w:rsid w:val="006A3E07"/>
    <w:rsid w:val="006A4692"/>
    <w:rsid w:val="006A5479"/>
    <w:rsid w:val="006A595B"/>
    <w:rsid w:val="006A73FB"/>
    <w:rsid w:val="006A7B68"/>
    <w:rsid w:val="006B0DD0"/>
    <w:rsid w:val="006B2500"/>
    <w:rsid w:val="006B29E5"/>
    <w:rsid w:val="006B30F7"/>
    <w:rsid w:val="006B33AA"/>
    <w:rsid w:val="006B3B5F"/>
    <w:rsid w:val="006B41AD"/>
    <w:rsid w:val="006B5A87"/>
    <w:rsid w:val="006B7B6F"/>
    <w:rsid w:val="006C0AD8"/>
    <w:rsid w:val="006C209E"/>
    <w:rsid w:val="006C5345"/>
    <w:rsid w:val="006D009B"/>
    <w:rsid w:val="006D0552"/>
    <w:rsid w:val="006D0E45"/>
    <w:rsid w:val="006D159F"/>
    <w:rsid w:val="006D559F"/>
    <w:rsid w:val="006E014B"/>
    <w:rsid w:val="006E0FF0"/>
    <w:rsid w:val="006E30FF"/>
    <w:rsid w:val="006E3DC4"/>
    <w:rsid w:val="006E4D9A"/>
    <w:rsid w:val="006E5744"/>
    <w:rsid w:val="006E6875"/>
    <w:rsid w:val="006E7897"/>
    <w:rsid w:val="006F1620"/>
    <w:rsid w:val="006F1992"/>
    <w:rsid w:val="006F4F30"/>
    <w:rsid w:val="006F51CE"/>
    <w:rsid w:val="0070032C"/>
    <w:rsid w:val="007006DB"/>
    <w:rsid w:val="007031C0"/>
    <w:rsid w:val="00704583"/>
    <w:rsid w:val="00705956"/>
    <w:rsid w:val="00705C32"/>
    <w:rsid w:val="0070699C"/>
    <w:rsid w:val="007074C4"/>
    <w:rsid w:val="00707CDB"/>
    <w:rsid w:val="00707DBD"/>
    <w:rsid w:val="0071145A"/>
    <w:rsid w:val="00712E13"/>
    <w:rsid w:val="00715358"/>
    <w:rsid w:val="007162B3"/>
    <w:rsid w:val="00716A4C"/>
    <w:rsid w:val="00717C06"/>
    <w:rsid w:val="00717D19"/>
    <w:rsid w:val="00720A4F"/>
    <w:rsid w:val="00722647"/>
    <w:rsid w:val="007242BE"/>
    <w:rsid w:val="007268CE"/>
    <w:rsid w:val="00727866"/>
    <w:rsid w:val="00727C94"/>
    <w:rsid w:val="00731A1F"/>
    <w:rsid w:val="00732303"/>
    <w:rsid w:val="0073590D"/>
    <w:rsid w:val="00736BC0"/>
    <w:rsid w:val="007372D1"/>
    <w:rsid w:val="00740231"/>
    <w:rsid w:val="00742180"/>
    <w:rsid w:val="00743ACF"/>
    <w:rsid w:val="00744FC3"/>
    <w:rsid w:val="007466C3"/>
    <w:rsid w:val="00747144"/>
    <w:rsid w:val="00747EEC"/>
    <w:rsid w:val="00750660"/>
    <w:rsid w:val="007517BF"/>
    <w:rsid w:val="00751E8C"/>
    <w:rsid w:val="00753378"/>
    <w:rsid w:val="00755E8C"/>
    <w:rsid w:val="0075603C"/>
    <w:rsid w:val="007571E8"/>
    <w:rsid w:val="00760BFC"/>
    <w:rsid w:val="00762155"/>
    <w:rsid w:val="0076217C"/>
    <w:rsid w:val="007624BB"/>
    <w:rsid w:val="007645E4"/>
    <w:rsid w:val="0076470B"/>
    <w:rsid w:val="007666B2"/>
    <w:rsid w:val="00766CEB"/>
    <w:rsid w:val="00767C6A"/>
    <w:rsid w:val="00770508"/>
    <w:rsid w:val="00770C6E"/>
    <w:rsid w:val="00771133"/>
    <w:rsid w:val="007715FF"/>
    <w:rsid w:val="00774053"/>
    <w:rsid w:val="00776369"/>
    <w:rsid w:val="0077668E"/>
    <w:rsid w:val="00777D30"/>
    <w:rsid w:val="00777DFE"/>
    <w:rsid w:val="00780D38"/>
    <w:rsid w:val="00781A52"/>
    <w:rsid w:val="00782BF6"/>
    <w:rsid w:val="007833FE"/>
    <w:rsid w:val="00786451"/>
    <w:rsid w:val="00790D19"/>
    <w:rsid w:val="00791AA5"/>
    <w:rsid w:val="00791B2C"/>
    <w:rsid w:val="0079367F"/>
    <w:rsid w:val="00793E27"/>
    <w:rsid w:val="00794ED4"/>
    <w:rsid w:val="0079577C"/>
    <w:rsid w:val="007968CE"/>
    <w:rsid w:val="007A4D95"/>
    <w:rsid w:val="007A786A"/>
    <w:rsid w:val="007B0BCA"/>
    <w:rsid w:val="007B1051"/>
    <w:rsid w:val="007B2929"/>
    <w:rsid w:val="007B39D2"/>
    <w:rsid w:val="007B5539"/>
    <w:rsid w:val="007B58C9"/>
    <w:rsid w:val="007B5EFB"/>
    <w:rsid w:val="007B7BB4"/>
    <w:rsid w:val="007C00E1"/>
    <w:rsid w:val="007C06EE"/>
    <w:rsid w:val="007C0952"/>
    <w:rsid w:val="007C4248"/>
    <w:rsid w:val="007C4B98"/>
    <w:rsid w:val="007C4EFE"/>
    <w:rsid w:val="007C5D27"/>
    <w:rsid w:val="007C7B29"/>
    <w:rsid w:val="007C7BAC"/>
    <w:rsid w:val="007D44C3"/>
    <w:rsid w:val="007D47BC"/>
    <w:rsid w:val="007D5D24"/>
    <w:rsid w:val="007D6E88"/>
    <w:rsid w:val="007E080B"/>
    <w:rsid w:val="007E0BBE"/>
    <w:rsid w:val="007E5291"/>
    <w:rsid w:val="007E7B42"/>
    <w:rsid w:val="007E7B9F"/>
    <w:rsid w:val="007F0790"/>
    <w:rsid w:val="007F138E"/>
    <w:rsid w:val="007F1E25"/>
    <w:rsid w:val="007F24B4"/>
    <w:rsid w:val="007F5B00"/>
    <w:rsid w:val="007F6447"/>
    <w:rsid w:val="007F6526"/>
    <w:rsid w:val="007F6A39"/>
    <w:rsid w:val="008008DC"/>
    <w:rsid w:val="00800BD8"/>
    <w:rsid w:val="008031FB"/>
    <w:rsid w:val="008032FC"/>
    <w:rsid w:val="00803F15"/>
    <w:rsid w:val="00804053"/>
    <w:rsid w:val="00806023"/>
    <w:rsid w:val="0080697D"/>
    <w:rsid w:val="0080706A"/>
    <w:rsid w:val="00810089"/>
    <w:rsid w:val="00812733"/>
    <w:rsid w:val="0081285A"/>
    <w:rsid w:val="0081444B"/>
    <w:rsid w:val="00814513"/>
    <w:rsid w:val="00816E66"/>
    <w:rsid w:val="00817B34"/>
    <w:rsid w:val="008209F8"/>
    <w:rsid w:val="00820EBE"/>
    <w:rsid w:val="00821971"/>
    <w:rsid w:val="00822614"/>
    <w:rsid w:val="008237A2"/>
    <w:rsid w:val="00825810"/>
    <w:rsid w:val="00825E2F"/>
    <w:rsid w:val="00827D9A"/>
    <w:rsid w:val="008319C4"/>
    <w:rsid w:val="00832128"/>
    <w:rsid w:val="00832B6B"/>
    <w:rsid w:val="008339DD"/>
    <w:rsid w:val="008357BF"/>
    <w:rsid w:val="00835FC4"/>
    <w:rsid w:val="00836279"/>
    <w:rsid w:val="00836D3F"/>
    <w:rsid w:val="00836D92"/>
    <w:rsid w:val="008371A4"/>
    <w:rsid w:val="008373F4"/>
    <w:rsid w:val="00837A88"/>
    <w:rsid w:val="008404E5"/>
    <w:rsid w:val="00840ADD"/>
    <w:rsid w:val="00840E4E"/>
    <w:rsid w:val="00845D69"/>
    <w:rsid w:val="0084706C"/>
    <w:rsid w:val="00850BCE"/>
    <w:rsid w:val="008537A9"/>
    <w:rsid w:val="0085403E"/>
    <w:rsid w:val="008556FC"/>
    <w:rsid w:val="00856774"/>
    <w:rsid w:val="00860605"/>
    <w:rsid w:val="00861503"/>
    <w:rsid w:val="00861916"/>
    <w:rsid w:val="0086420C"/>
    <w:rsid w:val="00864EAE"/>
    <w:rsid w:val="0086661A"/>
    <w:rsid w:val="00867170"/>
    <w:rsid w:val="008673B7"/>
    <w:rsid w:val="008703F4"/>
    <w:rsid w:val="00870803"/>
    <w:rsid w:val="008715EE"/>
    <w:rsid w:val="00871A88"/>
    <w:rsid w:val="0087214B"/>
    <w:rsid w:val="00872831"/>
    <w:rsid w:val="00875716"/>
    <w:rsid w:val="00876347"/>
    <w:rsid w:val="00876905"/>
    <w:rsid w:val="00876C70"/>
    <w:rsid w:val="00877E4A"/>
    <w:rsid w:val="00880394"/>
    <w:rsid w:val="00881C98"/>
    <w:rsid w:val="008821E8"/>
    <w:rsid w:val="00883225"/>
    <w:rsid w:val="00883828"/>
    <w:rsid w:val="00885AC3"/>
    <w:rsid w:val="00885BBF"/>
    <w:rsid w:val="008860CB"/>
    <w:rsid w:val="008871ED"/>
    <w:rsid w:val="0089031D"/>
    <w:rsid w:val="008906F1"/>
    <w:rsid w:val="00890EFF"/>
    <w:rsid w:val="00891620"/>
    <w:rsid w:val="008931D5"/>
    <w:rsid w:val="008964F2"/>
    <w:rsid w:val="0089722F"/>
    <w:rsid w:val="008978DA"/>
    <w:rsid w:val="008A02B8"/>
    <w:rsid w:val="008A0BC5"/>
    <w:rsid w:val="008A2B14"/>
    <w:rsid w:val="008A5AFE"/>
    <w:rsid w:val="008A73FC"/>
    <w:rsid w:val="008A772A"/>
    <w:rsid w:val="008B051C"/>
    <w:rsid w:val="008B113A"/>
    <w:rsid w:val="008B3E73"/>
    <w:rsid w:val="008B4632"/>
    <w:rsid w:val="008B465C"/>
    <w:rsid w:val="008B4E6F"/>
    <w:rsid w:val="008B5164"/>
    <w:rsid w:val="008B561E"/>
    <w:rsid w:val="008B5D89"/>
    <w:rsid w:val="008B66CC"/>
    <w:rsid w:val="008B6E8C"/>
    <w:rsid w:val="008C2959"/>
    <w:rsid w:val="008C5DA7"/>
    <w:rsid w:val="008C6B84"/>
    <w:rsid w:val="008C7DF4"/>
    <w:rsid w:val="008C7F5B"/>
    <w:rsid w:val="008D0252"/>
    <w:rsid w:val="008D0476"/>
    <w:rsid w:val="008D1982"/>
    <w:rsid w:val="008D20C7"/>
    <w:rsid w:val="008D2465"/>
    <w:rsid w:val="008D309E"/>
    <w:rsid w:val="008D405A"/>
    <w:rsid w:val="008D47CA"/>
    <w:rsid w:val="008D4844"/>
    <w:rsid w:val="008D48CC"/>
    <w:rsid w:val="008D62EF"/>
    <w:rsid w:val="008D643A"/>
    <w:rsid w:val="008D6917"/>
    <w:rsid w:val="008D6A68"/>
    <w:rsid w:val="008E5115"/>
    <w:rsid w:val="008E557E"/>
    <w:rsid w:val="008E5F8E"/>
    <w:rsid w:val="008F1EE0"/>
    <w:rsid w:val="008F2D72"/>
    <w:rsid w:val="008F51E2"/>
    <w:rsid w:val="008F5A4A"/>
    <w:rsid w:val="008F7330"/>
    <w:rsid w:val="009009EF"/>
    <w:rsid w:val="0090293D"/>
    <w:rsid w:val="009030D3"/>
    <w:rsid w:val="00904B5B"/>
    <w:rsid w:val="0090587B"/>
    <w:rsid w:val="00907029"/>
    <w:rsid w:val="00907168"/>
    <w:rsid w:val="0091115F"/>
    <w:rsid w:val="00911E52"/>
    <w:rsid w:val="00913179"/>
    <w:rsid w:val="009134CD"/>
    <w:rsid w:val="00913610"/>
    <w:rsid w:val="00914794"/>
    <w:rsid w:val="00914A5B"/>
    <w:rsid w:val="00914D3B"/>
    <w:rsid w:val="00915147"/>
    <w:rsid w:val="009164A4"/>
    <w:rsid w:val="009208A7"/>
    <w:rsid w:val="00920A5D"/>
    <w:rsid w:val="00921048"/>
    <w:rsid w:val="0092127B"/>
    <w:rsid w:val="00921841"/>
    <w:rsid w:val="00921F77"/>
    <w:rsid w:val="00924C34"/>
    <w:rsid w:val="0092503C"/>
    <w:rsid w:val="009266D6"/>
    <w:rsid w:val="00931B56"/>
    <w:rsid w:val="00932AF4"/>
    <w:rsid w:val="00932CBC"/>
    <w:rsid w:val="00933B9D"/>
    <w:rsid w:val="009340B2"/>
    <w:rsid w:val="00936B15"/>
    <w:rsid w:val="00937922"/>
    <w:rsid w:val="009411B7"/>
    <w:rsid w:val="00942DA1"/>
    <w:rsid w:val="00945118"/>
    <w:rsid w:val="00945D9F"/>
    <w:rsid w:val="00945DAD"/>
    <w:rsid w:val="00946970"/>
    <w:rsid w:val="00947333"/>
    <w:rsid w:val="0095023B"/>
    <w:rsid w:val="00951121"/>
    <w:rsid w:val="009513B2"/>
    <w:rsid w:val="00953344"/>
    <w:rsid w:val="009535B5"/>
    <w:rsid w:val="0095493B"/>
    <w:rsid w:val="00955402"/>
    <w:rsid w:val="0095543A"/>
    <w:rsid w:val="0095765F"/>
    <w:rsid w:val="00957712"/>
    <w:rsid w:val="00957DBE"/>
    <w:rsid w:val="00962139"/>
    <w:rsid w:val="00962BEC"/>
    <w:rsid w:val="00963694"/>
    <w:rsid w:val="00966EE5"/>
    <w:rsid w:val="009677B9"/>
    <w:rsid w:val="00970365"/>
    <w:rsid w:val="00970F74"/>
    <w:rsid w:val="0097101A"/>
    <w:rsid w:val="00971940"/>
    <w:rsid w:val="009733B0"/>
    <w:rsid w:val="00973768"/>
    <w:rsid w:val="00973A0E"/>
    <w:rsid w:val="009743D6"/>
    <w:rsid w:val="009753C5"/>
    <w:rsid w:val="00975435"/>
    <w:rsid w:val="00975FA0"/>
    <w:rsid w:val="00976922"/>
    <w:rsid w:val="00976A21"/>
    <w:rsid w:val="00980B92"/>
    <w:rsid w:val="00981608"/>
    <w:rsid w:val="00983076"/>
    <w:rsid w:val="00983683"/>
    <w:rsid w:val="009838FC"/>
    <w:rsid w:val="00983A5D"/>
    <w:rsid w:val="00986A7A"/>
    <w:rsid w:val="00986AD7"/>
    <w:rsid w:val="009925C7"/>
    <w:rsid w:val="009940DE"/>
    <w:rsid w:val="0099485B"/>
    <w:rsid w:val="009953F9"/>
    <w:rsid w:val="009958DF"/>
    <w:rsid w:val="00995C62"/>
    <w:rsid w:val="00997990"/>
    <w:rsid w:val="00997E62"/>
    <w:rsid w:val="00997F0C"/>
    <w:rsid w:val="009A1224"/>
    <w:rsid w:val="009A15FC"/>
    <w:rsid w:val="009A1ED0"/>
    <w:rsid w:val="009A5C68"/>
    <w:rsid w:val="009B045E"/>
    <w:rsid w:val="009B2BD1"/>
    <w:rsid w:val="009B4E9D"/>
    <w:rsid w:val="009B5670"/>
    <w:rsid w:val="009B56F8"/>
    <w:rsid w:val="009B6144"/>
    <w:rsid w:val="009B7120"/>
    <w:rsid w:val="009B756A"/>
    <w:rsid w:val="009C398A"/>
    <w:rsid w:val="009C477A"/>
    <w:rsid w:val="009C59A2"/>
    <w:rsid w:val="009C6A09"/>
    <w:rsid w:val="009D0AAA"/>
    <w:rsid w:val="009D135B"/>
    <w:rsid w:val="009D34B9"/>
    <w:rsid w:val="009D37C8"/>
    <w:rsid w:val="009D69ED"/>
    <w:rsid w:val="009D7785"/>
    <w:rsid w:val="009E17DB"/>
    <w:rsid w:val="009E2602"/>
    <w:rsid w:val="009E32DD"/>
    <w:rsid w:val="009E4AE9"/>
    <w:rsid w:val="009E5782"/>
    <w:rsid w:val="009E584E"/>
    <w:rsid w:val="009E655B"/>
    <w:rsid w:val="009E674E"/>
    <w:rsid w:val="009E679E"/>
    <w:rsid w:val="009F12DD"/>
    <w:rsid w:val="009F1BF0"/>
    <w:rsid w:val="009F3197"/>
    <w:rsid w:val="009F37BC"/>
    <w:rsid w:val="009F5C20"/>
    <w:rsid w:val="00A02E3C"/>
    <w:rsid w:val="00A04E23"/>
    <w:rsid w:val="00A06307"/>
    <w:rsid w:val="00A0688F"/>
    <w:rsid w:val="00A10493"/>
    <w:rsid w:val="00A10B90"/>
    <w:rsid w:val="00A10E33"/>
    <w:rsid w:val="00A12FA4"/>
    <w:rsid w:val="00A13718"/>
    <w:rsid w:val="00A138BC"/>
    <w:rsid w:val="00A138ED"/>
    <w:rsid w:val="00A14637"/>
    <w:rsid w:val="00A160BE"/>
    <w:rsid w:val="00A23830"/>
    <w:rsid w:val="00A26B0D"/>
    <w:rsid w:val="00A26D5B"/>
    <w:rsid w:val="00A26F54"/>
    <w:rsid w:val="00A3003B"/>
    <w:rsid w:val="00A306C6"/>
    <w:rsid w:val="00A311B3"/>
    <w:rsid w:val="00A314B4"/>
    <w:rsid w:val="00A3208A"/>
    <w:rsid w:val="00A32767"/>
    <w:rsid w:val="00A34969"/>
    <w:rsid w:val="00A364CB"/>
    <w:rsid w:val="00A3686F"/>
    <w:rsid w:val="00A36937"/>
    <w:rsid w:val="00A37744"/>
    <w:rsid w:val="00A405C0"/>
    <w:rsid w:val="00A41226"/>
    <w:rsid w:val="00A41FC4"/>
    <w:rsid w:val="00A429FD"/>
    <w:rsid w:val="00A46B45"/>
    <w:rsid w:val="00A46DBF"/>
    <w:rsid w:val="00A47FF0"/>
    <w:rsid w:val="00A51ED5"/>
    <w:rsid w:val="00A522C8"/>
    <w:rsid w:val="00A52F31"/>
    <w:rsid w:val="00A55BC9"/>
    <w:rsid w:val="00A55DDB"/>
    <w:rsid w:val="00A56DB2"/>
    <w:rsid w:val="00A57A61"/>
    <w:rsid w:val="00A62191"/>
    <w:rsid w:val="00A6284C"/>
    <w:rsid w:val="00A62BC4"/>
    <w:rsid w:val="00A64F2B"/>
    <w:rsid w:val="00A66D1B"/>
    <w:rsid w:val="00A6722E"/>
    <w:rsid w:val="00A67EF4"/>
    <w:rsid w:val="00A70C15"/>
    <w:rsid w:val="00A72D8B"/>
    <w:rsid w:val="00A72F2F"/>
    <w:rsid w:val="00A735FA"/>
    <w:rsid w:val="00A74BA6"/>
    <w:rsid w:val="00A75403"/>
    <w:rsid w:val="00A7586A"/>
    <w:rsid w:val="00A8215F"/>
    <w:rsid w:val="00A84C88"/>
    <w:rsid w:val="00A86FEA"/>
    <w:rsid w:val="00A9354F"/>
    <w:rsid w:val="00A951C6"/>
    <w:rsid w:val="00AA0A7D"/>
    <w:rsid w:val="00AA0C4D"/>
    <w:rsid w:val="00AA1822"/>
    <w:rsid w:val="00AA3196"/>
    <w:rsid w:val="00AA3AAE"/>
    <w:rsid w:val="00AA3E74"/>
    <w:rsid w:val="00AA3EFA"/>
    <w:rsid w:val="00AA59AC"/>
    <w:rsid w:val="00AB14E8"/>
    <w:rsid w:val="00AB3684"/>
    <w:rsid w:val="00AB4EBD"/>
    <w:rsid w:val="00AB6636"/>
    <w:rsid w:val="00AB686B"/>
    <w:rsid w:val="00AB7B74"/>
    <w:rsid w:val="00AB7D08"/>
    <w:rsid w:val="00AC02A8"/>
    <w:rsid w:val="00AC08FE"/>
    <w:rsid w:val="00AC0EF3"/>
    <w:rsid w:val="00AC2D6A"/>
    <w:rsid w:val="00AC38CA"/>
    <w:rsid w:val="00AC466C"/>
    <w:rsid w:val="00AC77A6"/>
    <w:rsid w:val="00AC7959"/>
    <w:rsid w:val="00AD0A8D"/>
    <w:rsid w:val="00AD12F9"/>
    <w:rsid w:val="00AD1D64"/>
    <w:rsid w:val="00AD256E"/>
    <w:rsid w:val="00AD2B1A"/>
    <w:rsid w:val="00AD41CE"/>
    <w:rsid w:val="00AD58DE"/>
    <w:rsid w:val="00AD79BC"/>
    <w:rsid w:val="00AE0299"/>
    <w:rsid w:val="00AE0437"/>
    <w:rsid w:val="00AE096C"/>
    <w:rsid w:val="00AE324B"/>
    <w:rsid w:val="00AE35C4"/>
    <w:rsid w:val="00AE38A0"/>
    <w:rsid w:val="00AE40A5"/>
    <w:rsid w:val="00AE4740"/>
    <w:rsid w:val="00AE48D3"/>
    <w:rsid w:val="00AE5072"/>
    <w:rsid w:val="00AE5150"/>
    <w:rsid w:val="00AE5B1C"/>
    <w:rsid w:val="00AE5F8C"/>
    <w:rsid w:val="00AE7EF3"/>
    <w:rsid w:val="00AF1E13"/>
    <w:rsid w:val="00AF22D6"/>
    <w:rsid w:val="00AF4917"/>
    <w:rsid w:val="00AF7CF2"/>
    <w:rsid w:val="00B02C6B"/>
    <w:rsid w:val="00B0544A"/>
    <w:rsid w:val="00B05D58"/>
    <w:rsid w:val="00B106BC"/>
    <w:rsid w:val="00B1089E"/>
    <w:rsid w:val="00B1352C"/>
    <w:rsid w:val="00B15613"/>
    <w:rsid w:val="00B15F67"/>
    <w:rsid w:val="00B16483"/>
    <w:rsid w:val="00B17394"/>
    <w:rsid w:val="00B17F46"/>
    <w:rsid w:val="00B20D4A"/>
    <w:rsid w:val="00B22256"/>
    <w:rsid w:val="00B22826"/>
    <w:rsid w:val="00B2358F"/>
    <w:rsid w:val="00B247A8"/>
    <w:rsid w:val="00B24A01"/>
    <w:rsid w:val="00B2505C"/>
    <w:rsid w:val="00B25877"/>
    <w:rsid w:val="00B26345"/>
    <w:rsid w:val="00B26A3C"/>
    <w:rsid w:val="00B27A9B"/>
    <w:rsid w:val="00B27B92"/>
    <w:rsid w:val="00B311E1"/>
    <w:rsid w:val="00B32218"/>
    <w:rsid w:val="00B32357"/>
    <w:rsid w:val="00B32FED"/>
    <w:rsid w:val="00B35C59"/>
    <w:rsid w:val="00B37197"/>
    <w:rsid w:val="00B3776C"/>
    <w:rsid w:val="00B40429"/>
    <w:rsid w:val="00B42C60"/>
    <w:rsid w:val="00B43134"/>
    <w:rsid w:val="00B43AD9"/>
    <w:rsid w:val="00B45F92"/>
    <w:rsid w:val="00B462A2"/>
    <w:rsid w:val="00B46E54"/>
    <w:rsid w:val="00B477CE"/>
    <w:rsid w:val="00B47A3F"/>
    <w:rsid w:val="00B507DD"/>
    <w:rsid w:val="00B51459"/>
    <w:rsid w:val="00B51985"/>
    <w:rsid w:val="00B53EA6"/>
    <w:rsid w:val="00B54378"/>
    <w:rsid w:val="00B61345"/>
    <w:rsid w:val="00B61807"/>
    <w:rsid w:val="00B61C64"/>
    <w:rsid w:val="00B62D84"/>
    <w:rsid w:val="00B63768"/>
    <w:rsid w:val="00B6533A"/>
    <w:rsid w:val="00B65483"/>
    <w:rsid w:val="00B66A04"/>
    <w:rsid w:val="00B718C3"/>
    <w:rsid w:val="00B73346"/>
    <w:rsid w:val="00B73DC3"/>
    <w:rsid w:val="00B73FCB"/>
    <w:rsid w:val="00B74F96"/>
    <w:rsid w:val="00B75DEA"/>
    <w:rsid w:val="00B7762C"/>
    <w:rsid w:val="00B77F0B"/>
    <w:rsid w:val="00B81B9E"/>
    <w:rsid w:val="00B8240C"/>
    <w:rsid w:val="00B84197"/>
    <w:rsid w:val="00B841C8"/>
    <w:rsid w:val="00B84288"/>
    <w:rsid w:val="00B86980"/>
    <w:rsid w:val="00B8752E"/>
    <w:rsid w:val="00B87DB7"/>
    <w:rsid w:val="00B92AEC"/>
    <w:rsid w:val="00B93620"/>
    <w:rsid w:val="00B93CAA"/>
    <w:rsid w:val="00B95CB0"/>
    <w:rsid w:val="00BA0E89"/>
    <w:rsid w:val="00BA5825"/>
    <w:rsid w:val="00BA5B5F"/>
    <w:rsid w:val="00BA648B"/>
    <w:rsid w:val="00BB12AD"/>
    <w:rsid w:val="00BB1868"/>
    <w:rsid w:val="00BB187D"/>
    <w:rsid w:val="00BB2854"/>
    <w:rsid w:val="00BB5209"/>
    <w:rsid w:val="00BB5A66"/>
    <w:rsid w:val="00BB6545"/>
    <w:rsid w:val="00BB76BD"/>
    <w:rsid w:val="00BC036A"/>
    <w:rsid w:val="00BC0CB6"/>
    <w:rsid w:val="00BC12FD"/>
    <w:rsid w:val="00BC1D9E"/>
    <w:rsid w:val="00BC2047"/>
    <w:rsid w:val="00BC23B6"/>
    <w:rsid w:val="00BC3023"/>
    <w:rsid w:val="00BC37F8"/>
    <w:rsid w:val="00BC391C"/>
    <w:rsid w:val="00BC42D7"/>
    <w:rsid w:val="00BC6BD5"/>
    <w:rsid w:val="00BD09EC"/>
    <w:rsid w:val="00BD1049"/>
    <w:rsid w:val="00BD38F0"/>
    <w:rsid w:val="00BD4E8A"/>
    <w:rsid w:val="00BD4FA0"/>
    <w:rsid w:val="00BD5402"/>
    <w:rsid w:val="00BD5D30"/>
    <w:rsid w:val="00BD6784"/>
    <w:rsid w:val="00BD758D"/>
    <w:rsid w:val="00BD7C14"/>
    <w:rsid w:val="00BE0305"/>
    <w:rsid w:val="00BE2762"/>
    <w:rsid w:val="00BE2823"/>
    <w:rsid w:val="00BE48F4"/>
    <w:rsid w:val="00BE71FA"/>
    <w:rsid w:val="00BE7E03"/>
    <w:rsid w:val="00BF1298"/>
    <w:rsid w:val="00BF377A"/>
    <w:rsid w:val="00BF49FA"/>
    <w:rsid w:val="00BF4BFA"/>
    <w:rsid w:val="00BF58DD"/>
    <w:rsid w:val="00BF5BBE"/>
    <w:rsid w:val="00BF644B"/>
    <w:rsid w:val="00BF65F2"/>
    <w:rsid w:val="00C00131"/>
    <w:rsid w:val="00C021FF"/>
    <w:rsid w:val="00C03032"/>
    <w:rsid w:val="00C03859"/>
    <w:rsid w:val="00C0415D"/>
    <w:rsid w:val="00C05A90"/>
    <w:rsid w:val="00C06E45"/>
    <w:rsid w:val="00C06F30"/>
    <w:rsid w:val="00C11265"/>
    <w:rsid w:val="00C116C5"/>
    <w:rsid w:val="00C12D5E"/>
    <w:rsid w:val="00C1328E"/>
    <w:rsid w:val="00C17B89"/>
    <w:rsid w:val="00C20674"/>
    <w:rsid w:val="00C2164D"/>
    <w:rsid w:val="00C220A0"/>
    <w:rsid w:val="00C24D8E"/>
    <w:rsid w:val="00C25DA4"/>
    <w:rsid w:val="00C26051"/>
    <w:rsid w:val="00C300B2"/>
    <w:rsid w:val="00C31610"/>
    <w:rsid w:val="00C35DA1"/>
    <w:rsid w:val="00C36493"/>
    <w:rsid w:val="00C36D22"/>
    <w:rsid w:val="00C400F6"/>
    <w:rsid w:val="00C42025"/>
    <w:rsid w:val="00C43940"/>
    <w:rsid w:val="00C5067B"/>
    <w:rsid w:val="00C51441"/>
    <w:rsid w:val="00C517E1"/>
    <w:rsid w:val="00C5319F"/>
    <w:rsid w:val="00C54080"/>
    <w:rsid w:val="00C57A20"/>
    <w:rsid w:val="00C6100D"/>
    <w:rsid w:val="00C61B05"/>
    <w:rsid w:val="00C62AAD"/>
    <w:rsid w:val="00C637C5"/>
    <w:rsid w:val="00C63B6F"/>
    <w:rsid w:val="00C64BC6"/>
    <w:rsid w:val="00C65B1B"/>
    <w:rsid w:val="00C70719"/>
    <w:rsid w:val="00C733D6"/>
    <w:rsid w:val="00C74F0D"/>
    <w:rsid w:val="00C76C1D"/>
    <w:rsid w:val="00C80138"/>
    <w:rsid w:val="00C80591"/>
    <w:rsid w:val="00C83205"/>
    <w:rsid w:val="00C84187"/>
    <w:rsid w:val="00C878DB"/>
    <w:rsid w:val="00C878E6"/>
    <w:rsid w:val="00C915B3"/>
    <w:rsid w:val="00C9228B"/>
    <w:rsid w:val="00C93179"/>
    <w:rsid w:val="00C9341C"/>
    <w:rsid w:val="00C952AE"/>
    <w:rsid w:val="00C961DE"/>
    <w:rsid w:val="00C979FC"/>
    <w:rsid w:val="00C97FF3"/>
    <w:rsid w:val="00CA0233"/>
    <w:rsid w:val="00CA1201"/>
    <w:rsid w:val="00CA3335"/>
    <w:rsid w:val="00CA42AB"/>
    <w:rsid w:val="00CA4F18"/>
    <w:rsid w:val="00CA6C35"/>
    <w:rsid w:val="00CB0059"/>
    <w:rsid w:val="00CB31CF"/>
    <w:rsid w:val="00CB3E99"/>
    <w:rsid w:val="00CB7D1C"/>
    <w:rsid w:val="00CC0EFB"/>
    <w:rsid w:val="00CC2F42"/>
    <w:rsid w:val="00CC6B22"/>
    <w:rsid w:val="00CC6C93"/>
    <w:rsid w:val="00CC7782"/>
    <w:rsid w:val="00CD1773"/>
    <w:rsid w:val="00CD3817"/>
    <w:rsid w:val="00CD3F1A"/>
    <w:rsid w:val="00CD571E"/>
    <w:rsid w:val="00CD61DF"/>
    <w:rsid w:val="00CD6595"/>
    <w:rsid w:val="00CE1324"/>
    <w:rsid w:val="00CE210E"/>
    <w:rsid w:val="00CE3652"/>
    <w:rsid w:val="00CE43C1"/>
    <w:rsid w:val="00CE5417"/>
    <w:rsid w:val="00CE56B2"/>
    <w:rsid w:val="00CE582D"/>
    <w:rsid w:val="00CE7784"/>
    <w:rsid w:val="00CF1EA4"/>
    <w:rsid w:val="00D00351"/>
    <w:rsid w:val="00D013B4"/>
    <w:rsid w:val="00D0152A"/>
    <w:rsid w:val="00D03879"/>
    <w:rsid w:val="00D040F9"/>
    <w:rsid w:val="00D049FF"/>
    <w:rsid w:val="00D0636B"/>
    <w:rsid w:val="00D10A40"/>
    <w:rsid w:val="00D110AE"/>
    <w:rsid w:val="00D12240"/>
    <w:rsid w:val="00D1320E"/>
    <w:rsid w:val="00D14253"/>
    <w:rsid w:val="00D14C38"/>
    <w:rsid w:val="00D15D6F"/>
    <w:rsid w:val="00D17CF5"/>
    <w:rsid w:val="00D2012F"/>
    <w:rsid w:val="00D23631"/>
    <w:rsid w:val="00D23C72"/>
    <w:rsid w:val="00D24BFA"/>
    <w:rsid w:val="00D26BFE"/>
    <w:rsid w:val="00D315B3"/>
    <w:rsid w:val="00D32AD7"/>
    <w:rsid w:val="00D35F43"/>
    <w:rsid w:val="00D36060"/>
    <w:rsid w:val="00D3671F"/>
    <w:rsid w:val="00D36C14"/>
    <w:rsid w:val="00D40E44"/>
    <w:rsid w:val="00D42992"/>
    <w:rsid w:val="00D43338"/>
    <w:rsid w:val="00D43C60"/>
    <w:rsid w:val="00D43C86"/>
    <w:rsid w:val="00D43FDD"/>
    <w:rsid w:val="00D44A96"/>
    <w:rsid w:val="00D47112"/>
    <w:rsid w:val="00D52530"/>
    <w:rsid w:val="00D539C5"/>
    <w:rsid w:val="00D55E1F"/>
    <w:rsid w:val="00D56DEE"/>
    <w:rsid w:val="00D56DFB"/>
    <w:rsid w:val="00D571F2"/>
    <w:rsid w:val="00D630C5"/>
    <w:rsid w:val="00D64DDF"/>
    <w:rsid w:val="00D65856"/>
    <w:rsid w:val="00D66D87"/>
    <w:rsid w:val="00D70307"/>
    <w:rsid w:val="00D70956"/>
    <w:rsid w:val="00D73845"/>
    <w:rsid w:val="00D75754"/>
    <w:rsid w:val="00D771A6"/>
    <w:rsid w:val="00D80C4A"/>
    <w:rsid w:val="00D84FAE"/>
    <w:rsid w:val="00D85BF2"/>
    <w:rsid w:val="00D867A9"/>
    <w:rsid w:val="00D86D95"/>
    <w:rsid w:val="00D872BD"/>
    <w:rsid w:val="00D87CFE"/>
    <w:rsid w:val="00D90665"/>
    <w:rsid w:val="00D90AF0"/>
    <w:rsid w:val="00D91B04"/>
    <w:rsid w:val="00D928B7"/>
    <w:rsid w:val="00D94C21"/>
    <w:rsid w:val="00D9625C"/>
    <w:rsid w:val="00D970A7"/>
    <w:rsid w:val="00D97454"/>
    <w:rsid w:val="00D97E49"/>
    <w:rsid w:val="00DA19FF"/>
    <w:rsid w:val="00DA24D3"/>
    <w:rsid w:val="00DA28B9"/>
    <w:rsid w:val="00DA493A"/>
    <w:rsid w:val="00DA58D9"/>
    <w:rsid w:val="00DA600B"/>
    <w:rsid w:val="00DA6397"/>
    <w:rsid w:val="00DA7614"/>
    <w:rsid w:val="00DB0090"/>
    <w:rsid w:val="00DB01F4"/>
    <w:rsid w:val="00DB1158"/>
    <w:rsid w:val="00DB1C96"/>
    <w:rsid w:val="00DB267C"/>
    <w:rsid w:val="00DB2CE6"/>
    <w:rsid w:val="00DB338E"/>
    <w:rsid w:val="00DB3983"/>
    <w:rsid w:val="00DB412E"/>
    <w:rsid w:val="00DB6AC0"/>
    <w:rsid w:val="00DC1AD1"/>
    <w:rsid w:val="00DC4D95"/>
    <w:rsid w:val="00DC7B51"/>
    <w:rsid w:val="00DD15E1"/>
    <w:rsid w:val="00DD2BC7"/>
    <w:rsid w:val="00DD44D5"/>
    <w:rsid w:val="00DD4704"/>
    <w:rsid w:val="00DD549A"/>
    <w:rsid w:val="00DD6239"/>
    <w:rsid w:val="00DD7100"/>
    <w:rsid w:val="00DD750F"/>
    <w:rsid w:val="00DE0173"/>
    <w:rsid w:val="00DE5B19"/>
    <w:rsid w:val="00DE7D4B"/>
    <w:rsid w:val="00DF01EF"/>
    <w:rsid w:val="00DF0F56"/>
    <w:rsid w:val="00DF23F3"/>
    <w:rsid w:val="00DF30C0"/>
    <w:rsid w:val="00DF32FD"/>
    <w:rsid w:val="00DF5BA5"/>
    <w:rsid w:val="00DF5C5B"/>
    <w:rsid w:val="00DF5EC1"/>
    <w:rsid w:val="00DF7A30"/>
    <w:rsid w:val="00E00D74"/>
    <w:rsid w:val="00E02466"/>
    <w:rsid w:val="00E03A50"/>
    <w:rsid w:val="00E04812"/>
    <w:rsid w:val="00E048F0"/>
    <w:rsid w:val="00E17614"/>
    <w:rsid w:val="00E20850"/>
    <w:rsid w:val="00E21F1F"/>
    <w:rsid w:val="00E23370"/>
    <w:rsid w:val="00E247DA"/>
    <w:rsid w:val="00E2659C"/>
    <w:rsid w:val="00E27138"/>
    <w:rsid w:val="00E27C35"/>
    <w:rsid w:val="00E307FF"/>
    <w:rsid w:val="00E30CA4"/>
    <w:rsid w:val="00E31D2A"/>
    <w:rsid w:val="00E31FFF"/>
    <w:rsid w:val="00E338C3"/>
    <w:rsid w:val="00E34A8E"/>
    <w:rsid w:val="00E352E0"/>
    <w:rsid w:val="00E40DA1"/>
    <w:rsid w:val="00E411FF"/>
    <w:rsid w:val="00E4199A"/>
    <w:rsid w:val="00E42124"/>
    <w:rsid w:val="00E44092"/>
    <w:rsid w:val="00E44D49"/>
    <w:rsid w:val="00E458F8"/>
    <w:rsid w:val="00E46221"/>
    <w:rsid w:val="00E46AD4"/>
    <w:rsid w:val="00E47AF6"/>
    <w:rsid w:val="00E47EEB"/>
    <w:rsid w:val="00E50B37"/>
    <w:rsid w:val="00E50E25"/>
    <w:rsid w:val="00E50FD2"/>
    <w:rsid w:val="00E51C2F"/>
    <w:rsid w:val="00E51DDC"/>
    <w:rsid w:val="00E535AC"/>
    <w:rsid w:val="00E536F3"/>
    <w:rsid w:val="00E53764"/>
    <w:rsid w:val="00E56BA7"/>
    <w:rsid w:val="00E60C3A"/>
    <w:rsid w:val="00E63DC7"/>
    <w:rsid w:val="00E64AFB"/>
    <w:rsid w:val="00E65EC1"/>
    <w:rsid w:val="00E66111"/>
    <w:rsid w:val="00E661B1"/>
    <w:rsid w:val="00E7084E"/>
    <w:rsid w:val="00E70936"/>
    <w:rsid w:val="00E71E27"/>
    <w:rsid w:val="00E71F1D"/>
    <w:rsid w:val="00E7549A"/>
    <w:rsid w:val="00E80006"/>
    <w:rsid w:val="00E8013A"/>
    <w:rsid w:val="00E8028D"/>
    <w:rsid w:val="00E81B7D"/>
    <w:rsid w:val="00E82347"/>
    <w:rsid w:val="00E82675"/>
    <w:rsid w:val="00E83814"/>
    <w:rsid w:val="00E8429D"/>
    <w:rsid w:val="00E8583F"/>
    <w:rsid w:val="00E87BF5"/>
    <w:rsid w:val="00E9074E"/>
    <w:rsid w:val="00E910DA"/>
    <w:rsid w:val="00E92D8E"/>
    <w:rsid w:val="00E943F3"/>
    <w:rsid w:val="00EA1B67"/>
    <w:rsid w:val="00EA21D6"/>
    <w:rsid w:val="00EA44CE"/>
    <w:rsid w:val="00EA5DAB"/>
    <w:rsid w:val="00EA76A7"/>
    <w:rsid w:val="00EB0A3A"/>
    <w:rsid w:val="00EB5518"/>
    <w:rsid w:val="00EB5BC2"/>
    <w:rsid w:val="00EB6B7B"/>
    <w:rsid w:val="00EB7F3B"/>
    <w:rsid w:val="00EC65FE"/>
    <w:rsid w:val="00EC73CB"/>
    <w:rsid w:val="00EC7475"/>
    <w:rsid w:val="00EC7A2C"/>
    <w:rsid w:val="00EC7A66"/>
    <w:rsid w:val="00EC7EFF"/>
    <w:rsid w:val="00ED031D"/>
    <w:rsid w:val="00ED16A4"/>
    <w:rsid w:val="00ED1A43"/>
    <w:rsid w:val="00ED2E57"/>
    <w:rsid w:val="00ED307C"/>
    <w:rsid w:val="00ED5735"/>
    <w:rsid w:val="00ED7328"/>
    <w:rsid w:val="00ED7DA9"/>
    <w:rsid w:val="00EE0340"/>
    <w:rsid w:val="00EE042C"/>
    <w:rsid w:val="00EE1D5E"/>
    <w:rsid w:val="00EE4303"/>
    <w:rsid w:val="00EE5A62"/>
    <w:rsid w:val="00EE65C7"/>
    <w:rsid w:val="00EF1C28"/>
    <w:rsid w:val="00EF290E"/>
    <w:rsid w:val="00EF2AB8"/>
    <w:rsid w:val="00EF3FBF"/>
    <w:rsid w:val="00EF40BA"/>
    <w:rsid w:val="00EF42AB"/>
    <w:rsid w:val="00EF6B2D"/>
    <w:rsid w:val="00EF6FB1"/>
    <w:rsid w:val="00F02529"/>
    <w:rsid w:val="00F02613"/>
    <w:rsid w:val="00F02D26"/>
    <w:rsid w:val="00F03BB9"/>
    <w:rsid w:val="00F04727"/>
    <w:rsid w:val="00F05E8B"/>
    <w:rsid w:val="00F062CE"/>
    <w:rsid w:val="00F140B3"/>
    <w:rsid w:val="00F14D53"/>
    <w:rsid w:val="00F15411"/>
    <w:rsid w:val="00F20337"/>
    <w:rsid w:val="00F22F11"/>
    <w:rsid w:val="00F23343"/>
    <w:rsid w:val="00F233EE"/>
    <w:rsid w:val="00F24012"/>
    <w:rsid w:val="00F243D5"/>
    <w:rsid w:val="00F263A4"/>
    <w:rsid w:val="00F27AC3"/>
    <w:rsid w:val="00F30567"/>
    <w:rsid w:val="00F32498"/>
    <w:rsid w:val="00F3293F"/>
    <w:rsid w:val="00F35179"/>
    <w:rsid w:val="00F36007"/>
    <w:rsid w:val="00F41A99"/>
    <w:rsid w:val="00F41E57"/>
    <w:rsid w:val="00F43679"/>
    <w:rsid w:val="00F448C3"/>
    <w:rsid w:val="00F451BD"/>
    <w:rsid w:val="00F457F0"/>
    <w:rsid w:val="00F458E5"/>
    <w:rsid w:val="00F45CD0"/>
    <w:rsid w:val="00F466BE"/>
    <w:rsid w:val="00F46853"/>
    <w:rsid w:val="00F46B4A"/>
    <w:rsid w:val="00F46DA3"/>
    <w:rsid w:val="00F50533"/>
    <w:rsid w:val="00F519DA"/>
    <w:rsid w:val="00F527E9"/>
    <w:rsid w:val="00F53E24"/>
    <w:rsid w:val="00F53ED0"/>
    <w:rsid w:val="00F55FC8"/>
    <w:rsid w:val="00F56564"/>
    <w:rsid w:val="00F56820"/>
    <w:rsid w:val="00F56AF2"/>
    <w:rsid w:val="00F5723C"/>
    <w:rsid w:val="00F603F8"/>
    <w:rsid w:val="00F613EA"/>
    <w:rsid w:val="00F61C02"/>
    <w:rsid w:val="00F61D36"/>
    <w:rsid w:val="00F62BA1"/>
    <w:rsid w:val="00F634E7"/>
    <w:rsid w:val="00F64E7C"/>
    <w:rsid w:val="00F65622"/>
    <w:rsid w:val="00F657F5"/>
    <w:rsid w:val="00F66964"/>
    <w:rsid w:val="00F674DE"/>
    <w:rsid w:val="00F677B9"/>
    <w:rsid w:val="00F706C4"/>
    <w:rsid w:val="00F718B4"/>
    <w:rsid w:val="00F740B5"/>
    <w:rsid w:val="00F75B0B"/>
    <w:rsid w:val="00F80414"/>
    <w:rsid w:val="00F81FF8"/>
    <w:rsid w:val="00F838F6"/>
    <w:rsid w:val="00F85994"/>
    <w:rsid w:val="00F85E6B"/>
    <w:rsid w:val="00F86200"/>
    <w:rsid w:val="00F868BC"/>
    <w:rsid w:val="00F870AD"/>
    <w:rsid w:val="00F87ADD"/>
    <w:rsid w:val="00F905BA"/>
    <w:rsid w:val="00F909F6"/>
    <w:rsid w:val="00F91FEB"/>
    <w:rsid w:val="00F92034"/>
    <w:rsid w:val="00F92F22"/>
    <w:rsid w:val="00F931A2"/>
    <w:rsid w:val="00F94AB1"/>
    <w:rsid w:val="00FA09AB"/>
    <w:rsid w:val="00FA4F19"/>
    <w:rsid w:val="00FA5758"/>
    <w:rsid w:val="00FA6548"/>
    <w:rsid w:val="00FA6B33"/>
    <w:rsid w:val="00FA7F3B"/>
    <w:rsid w:val="00FB0548"/>
    <w:rsid w:val="00FB22D2"/>
    <w:rsid w:val="00FB5076"/>
    <w:rsid w:val="00FB5113"/>
    <w:rsid w:val="00FB57DD"/>
    <w:rsid w:val="00FB5B6C"/>
    <w:rsid w:val="00FB7045"/>
    <w:rsid w:val="00FB7966"/>
    <w:rsid w:val="00FB7B07"/>
    <w:rsid w:val="00FC4742"/>
    <w:rsid w:val="00FC4823"/>
    <w:rsid w:val="00FC5F19"/>
    <w:rsid w:val="00FC645B"/>
    <w:rsid w:val="00FC64DF"/>
    <w:rsid w:val="00FC684A"/>
    <w:rsid w:val="00FC6EBC"/>
    <w:rsid w:val="00FC6F43"/>
    <w:rsid w:val="00FD053F"/>
    <w:rsid w:val="00FD12AF"/>
    <w:rsid w:val="00FD34CB"/>
    <w:rsid w:val="00FD3B56"/>
    <w:rsid w:val="00FD3DBC"/>
    <w:rsid w:val="00FD41C0"/>
    <w:rsid w:val="00FD5187"/>
    <w:rsid w:val="00FD6318"/>
    <w:rsid w:val="00FD7710"/>
    <w:rsid w:val="00FE12AA"/>
    <w:rsid w:val="00FE146A"/>
    <w:rsid w:val="00FE4912"/>
    <w:rsid w:val="00FE4DAF"/>
    <w:rsid w:val="00FE7E4D"/>
    <w:rsid w:val="00FF01FE"/>
    <w:rsid w:val="00FF04BD"/>
    <w:rsid w:val="00FF05A7"/>
    <w:rsid w:val="00FF3534"/>
    <w:rsid w:val="00FF3617"/>
    <w:rsid w:val="00FF5855"/>
    <w:rsid w:val="00FF70F5"/>
    <w:rsid w:val="00FF71F1"/>
    <w:rsid w:val="607E10E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rPr>
      <w:sz w:val="28"/>
      <w:lang w:val="ru-RU" w:eastAsia="ru-RU" w:bidi="ar-SA"/>
    </w:rPr>
  </w:style>
  <w:style w:type="paragraph" w:styleId="2">
    <w:name w:val="heading 2"/>
    <w:basedOn w:val="1"/>
    <w:next w:val="1"/>
    <w:qFormat/>
    <w:uiPriority w:val="0"/>
    <w:pPr>
      <w:keepNext/>
      <w:jc w:val="right"/>
      <w:outlineLvl w:val="1"/>
    </w:pPr>
    <w:rPr>
      <w:b/>
      <w:sz w:val="24"/>
    </w:rPr>
  </w:style>
  <w:style w:type="character" w:default="1" w:styleId="3">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trPr>
      <w:wBefore w:w="0" w:type="dxa"/>
    </w:trPr>
  </w:style>
  <w:style w:type="character" w:styleId="5">
    <w:name w:val="FollowedHyperlink"/>
    <w:unhideWhenUsed/>
    <w:uiPriority w:val="99"/>
    <w:rPr>
      <w:color w:val="954F72"/>
      <w:u w:val="single"/>
    </w:rPr>
  </w:style>
  <w:style w:type="character" w:styleId="6">
    <w:name w:val="Hyperlink"/>
    <w:uiPriority w:val="99"/>
    <w:rPr>
      <w:color w:val="0000FF"/>
      <w:u w:val="single"/>
    </w:rPr>
  </w:style>
  <w:style w:type="character" w:styleId="7">
    <w:name w:val="page number"/>
    <w:basedOn w:val="3"/>
    <w:uiPriority w:val="0"/>
  </w:style>
  <w:style w:type="paragraph" w:styleId="8">
    <w:name w:val="Balloon Text"/>
    <w:basedOn w:val="1"/>
    <w:semiHidden/>
    <w:uiPriority w:val="0"/>
    <w:rPr>
      <w:rFonts w:ascii="Tahoma" w:hAnsi="Tahoma" w:cs="Tahoma"/>
      <w:sz w:val="16"/>
      <w:szCs w:val="16"/>
    </w:rPr>
  </w:style>
  <w:style w:type="paragraph" w:styleId="9">
    <w:name w:val="header"/>
    <w:basedOn w:val="1"/>
    <w:uiPriority w:val="0"/>
    <w:pPr>
      <w:tabs>
        <w:tab w:val="center" w:pos="4153"/>
        <w:tab w:val="right" w:pos="8306"/>
      </w:tabs>
    </w:pPr>
  </w:style>
  <w:style w:type="paragraph" w:styleId="10">
    <w:name w:val="Body Text"/>
    <w:basedOn w:val="1"/>
    <w:link w:val="21"/>
    <w:uiPriority w:val="0"/>
    <w:pPr>
      <w:jc w:val="both"/>
    </w:pPr>
  </w:style>
  <w:style w:type="paragraph" w:styleId="11">
    <w:name w:val="Body Text Indent"/>
    <w:basedOn w:val="1"/>
    <w:uiPriority w:val="0"/>
    <w:pPr>
      <w:ind w:firstLine="720"/>
      <w:jc w:val="both"/>
    </w:pPr>
  </w:style>
  <w:style w:type="paragraph" w:styleId="12">
    <w:name w:val="footer"/>
    <w:basedOn w:val="1"/>
    <w:uiPriority w:val="0"/>
    <w:pPr>
      <w:tabs>
        <w:tab w:val="center" w:pos="4677"/>
        <w:tab w:val="right" w:pos="9355"/>
      </w:tabs>
    </w:pPr>
  </w:style>
  <w:style w:type="paragraph" w:styleId="13">
    <w:name w:val="Body Text Indent 2"/>
    <w:basedOn w:val="1"/>
    <w:link w:val="41"/>
    <w:uiPriority w:val="0"/>
    <w:pPr>
      <w:ind w:left="10080"/>
      <w:jc w:val="both"/>
    </w:pPr>
  </w:style>
  <w:style w:type="paragraph" w:styleId="14">
    <w:name w:val="HTML Preformatted"/>
    <w:basedOn w:val="1"/>
    <w:link w:val="24"/>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table" w:styleId="15">
    <w:name w:val="Table Grid"/>
    <w:basedOn w:val="4"/>
    <w:uiPriority w:val="0"/>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Стандарт"/>
    <w:basedOn w:val="10"/>
    <w:link w:val="17"/>
    <w:uiPriority w:val="0"/>
    <w:pPr>
      <w:ind w:firstLine="720"/>
    </w:pPr>
    <w:rPr>
      <w:szCs w:val="24"/>
    </w:rPr>
  </w:style>
  <w:style w:type="character" w:customStyle="1" w:styleId="17">
    <w:name w:val="Стандарт Знак1"/>
    <w:link w:val="16"/>
    <w:uiPriority w:val="0"/>
    <w:rPr>
      <w:sz w:val="28"/>
      <w:szCs w:val="24"/>
      <w:lang w:val="ru-RU" w:eastAsia="ru-RU" w:bidi="ar-SA"/>
    </w:rPr>
  </w:style>
  <w:style w:type="paragraph" w:customStyle="1" w:styleId="18">
    <w:name w:val="Body Text Indent 3"/>
    <w:basedOn w:val="1"/>
    <w:uiPriority w:val="0"/>
    <w:pPr>
      <w:widowControl w:val="0"/>
      <w:spacing w:line="260" w:lineRule="exact"/>
      <w:ind w:firstLine="720"/>
      <w:jc w:val="both"/>
    </w:pPr>
    <w:rPr>
      <w:i/>
      <w:sz w:val="24"/>
    </w:rPr>
  </w:style>
  <w:style w:type="paragraph" w:customStyle="1" w:styleId="19">
    <w:name w:val="ConsPlusNormal"/>
    <w:uiPriority w:val="0"/>
    <w:pPr>
      <w:widowControl w:val="0"/>
      <w:autoSpaceDE w:val="0"/>
      <w:autoSpaceDN w:val="0"/>
      <w:adjustRightInd w:val="0"/>
      <w:ind w:firstLine="720"/>
    </w:pPr>
    <w:rPr>
      <w:rFonts w:ascii="Arial" w:hAnsi="Arial" w:cs="Arial"/>
      <w:lang w:val="ru-RU" w:eastAsia="ru-RU" w:bidi="ar-SA"/>
    </w:rPr>
  </w:style>
  <w:style w:type="paragraph" w:styleId="20">
    <w:name w:val="No Spacing"/>
    <w:qFormat/>
    <w:uiPriority w:val="1"/>
    <w:rPr>
      <w:sz w:val="28"/>
      <w:lang w:val="ru-RU" w:eastAsia="ru-RU" w:bidi="ar-SA"/>
    </w:rPr>
  </w:style>
  <w:style w:type="character" w:customStyle="1" w:styleId="21">
    <w:name w:val="Основной текст Знак"/>
    <w:link w:val="10"/>
    <w:uiPriority w:val="0"/>
    <w:rPr>
      <w:sz w:val="28"/>
    </w:rPr>
  </w:style>
  <w:style w:type="character" w:customStyle="1" w:styleId="22">
    <w:name w:val="Основной текст_"/>
    <w:link w:val="23"/>
    <w:uiPriority w:val="0"/>
    <w:rPr>
      <w:spacing w:val="6"/>
      <w:shd w:val="clear" w:color="auto" w:fill="FFFFFF"/>
    </w:rPr>
  </w:style>
  <w:style w:type="paragraph" w:customStyle="1" w:styleId="23">
    <w:name w:val="Основной текст1"/>
    <w:basedOn w:val="1"/>
    <w:link w:val="22"/>
    <w:uiPriority w:val="0"/>
    <w:pPr>
      <w:widowControl w:val="0"/>
      <w:shd w:val="clear" w:color="auto" w:fill="FFFFFF"/>
      <w:spacing w:before="540" w:line="336" w:lineRule="exact"/>
      <w:ind w:hanging="1780"/>
      <w:jc w:val="both"/>
    </w:pPr>
    <w:rPr>
      <w:spacing w:val="6"/>
      <w:sz w:val="20"/>
    </w:rPr>
  </w:style>
  <w:style w:type="character" w:customStyle="1" w:styleId="24">
    <w:name w:val="Стандартный HTML Знак"/>
    <w:link w:val="14"/>
    <w:uiPriority w:val="99"/>
    <w:rPr>
      <w:rFonts w:ascii="Courier New" w:hAnsi="Courier New" w:cs="Courier New"/>
    </w:rPr>
  </w:style>
  <w:style w:type="paragraph" w:customStyle="1" w:styleId="25">
    <w:name w:val="msonormal"/>
    <w:basedOn w:val="1"/>
    <w:uiPriority w:val="0"/>
    <w:pPr>
      <w:spacing w:before="100" w:beforeAutospacing="1" w:after="100" w:afterAutospacing="1"/>
    </w:pPr>
    <w:rPr>
      <w:sz w:val="24"/>
      <w:szCs w:val="24"/>
    </w:rPr>
  </w:style>
  <w:style w:type="paragraph" w:customStyle="1" w:styleId="26">
    <w:name w:val="xl65"/>
    <w:basedOn w:val="1"/>
    <w:uiPriority w:val="0"/>
    <w:pPr>
      <w:pBdr>
        <w:top w:val="single" w:color="B3AC86" w:sz="4" w:space="0"/>
        <w:left w:val="single" w:color="B3AC86" w:sz="4" w:space="0"/>
        <w:bottom w:val="single" w:color="B3AC86" w:sz="4" w:space="0"/>
        <w:right w:val="single" w:color="B3AC86" w:sz="4" w:space="0"/>
      </w:pBdr>
      <w:shd w:val="clear" w:color="000000" w:fill="F5F2DD"/>
      <w:spacing w:before="100" w:beforeAutospacing="1" w:after="100" w:afterAutospacing="1"/>
      <w:textAlignment w:val="top"/>
    </w:pPr>
    <w:rPr>
      <w:rFonts w:ascii="Microsoft Sans Serif" w:hAnsi="Microsoft Sans Serif" w:cs="Microsoft Sans Serif"/>
      <w:color w:val="594304"/>
      <w:sz w:val="24"/>
      <w:szCs w:val="24"/>
    </w:rPr>
  </w:style>
  <w:style w:type="paragraph" w:customStyle="1" w:styleId="27">
    <w:name w:val="xl66"/>
    <w:basedOn w:val="1"/>
    <w:uiPriority w:val="0"/>
    <w:pPr>
      <w:pBdr>
        <w:top w:val="single" w:color="B3AC86" w:sz="4" w:space="0"/>
        <w:left w:val="single" w:color="B3AC86" w:sz="4" w:space="0"/>
        <w:bottom w:val="single" w:color="B3AC86" w:sz="4" w:space="0"/>
        <w:right w:val="single" w:color="B3AC86" w:sz="4" w:space="0"/>
      </w:pBdr>
      <w:shd w:val="clear" w:color="000000" w:fill="F5F2DD"/>
      <w:spacing w:before="100" w:beforeAutospacing="1" w:after="100" w:afterAutospacing="1"/>
      <w:jc w:val="center"/>
      <w:textAlignment w:val="top"/>
    </w:pPr>
    <w:rPr>
      <w:rFonts w:ascii="Microsoft Sans Serif" w:hAnsi="Microsoft Sans Serif" w:cs="Microsoft Sans Serif"/>
      <w:color w:val="594304"/>
      <w:sz w:val="24"/>
      <w:szCs w:val="24"/>
    </w:rPr>
  </w:style>
  <w:style w:type="paragraph" w:customStyle="1" w:styleId="28">
    <w:name w:val="xl67"/>
    <w:basedOn w:val="1"/>
    <w:uiPriority w:val="0"/>
    <w:pPr>
      <w:pBdr>
        <w:top w:val="single" w:color="B3AC86" w:sz="4" w:space="0"/>
        <w:left w:val="single" w:color="B3AC86" w:sz="4" w:space="0"/>
        <w:bottom w:val="single" w:color="B3AC86" w:sz="4" w:space="0"/>
        <w:right w:val="single" w:color="B3AC86" w:sz="4" w:space="0"/>
      </w:pBdr>
      <w:shd w:val="clear" w:color="000000" w:fill="F8F2D8"/>
      <w:spacing w:before="100" w:beforeAutospacing="1" w:after="100" w:afterAutospacing="1"/>
      <w:textAlignment w:val="top"/>
    </w:pPr>
    <w:rPr>
      <w:color w:val="000000"/>
      <w:sz w:val="24"/>
      <w:szCs w:val="24"/>
    </w:rPr>
  </w:style>
  <w:style w:type="paragraph" w:customStyle="1" w:styleId="29">
    <w:name w:val="xl68"/>
    <w:basedOn w:val="1"/>
    <w:uiPriority w:val="0"/>
    <w:pPr>
      <w:pBdr>
        <w:top w:val="single" w:color="B3AC86" w:sz="4" w:space="0"/>
        <w:left w:val="single" w:color="B3AC86" w:sz="4" w:space="0"/>
        <w:bottom w:val="single" w:color="B3AC86" w:sz="4" w:space="0"/>
        <w:right w:val="single" w:color="B3AC86" w:sz="4" w:space="0"/>
      </w:pBdr>
      <w:shd w:val="clear" w:color="000000" w:fill="F8F2D8"/>
      <w:spacing w:before="100" w:beforeAutospacing="1" w:after="100" w:afterAutospacing="1"/>
      <w:jc w:val="center"/>
      <w:textAlignment w:val="top"/>
    </w:pPr>
    <w:rPr>
      <w:color w:val="000000"/>
      <w:sz w:val="24"/>
      <w:szCs w:val="24"/>
    </w:rPr>
  </w:style>
  <w:style w:type="paragraph" w:customStyle="1" w:styleId="30">
    <w:name w:val="xl69"/>
    <w:basedOn w:val="1"/>
    <w:uiPriority w:val="0"/>
    <w:pPr>
      <w:pBdr>
        <w:top w:val="single" w:color="B3AC86" w:sz="4" w:space="0"/>
        <w:left w:val="single" w:color="B3AC86" w:sz="4" w:space="14"/>
        <w:bottom w:val="single" w:color="B3AC86" w:sz="4" w:space="0"/>
        <w:right w:val="single" w:color="B3AC86" w:sz="4" w:space="0"/>
      </w:pBdr>
      <w:shd w:val="clear" w:color="000000" w:fill="F8F2D8"/>
      <w:spacing w:before="100" w:beforeAutospacing="1" w:after="100" w:afterAutospacing="1"/>
      <w:ind w:firstLine="200" w:firstLineChars="200"/>
      <w:textAlignment w:val="top"/>
    </w:pPr>
    <w:rPr>
      <w:color w:val="000000"/>
      <w:sz w:val="24"/>
      <w:szCs w:val="24"/>
    </w:rPr>
  </w:style>
  <w:style w:type="paragraph" w:customStyle="1" w:styleId="31">
    <w:name w:val="xl70"/>
    <w:basedOn w:val="1"/>
    <w:uiPriority w:val="0"/>
    <w:pPr>
      <w:pBdr>
        <w:top w:val="single" w:color="B3AC86" w:sz="4" w:space="0"/>
        <w:left w:val="single" w:color="B3AC86" w:sz="4" w:space="27"/>
        <w:bottom w:val="single" w:color="B3AC86" w:sz="4" w:space="0"/>
        <w:right w:val="single" w:color="B3AC86" w:sz="4" w:space="0"/>
      </w:pBdr>
      <w:shd w:val="clear" w:color="000000" w:fill="FFFFFF"/>
      <w:spacing w:before="100" w:beforeAutospacing="1" w:after="100" w:afterAutospacing="1"/>
      <w:ind w:firstLine="400" w:firstLineChars="400"/>
      <w:textAlignment w:val="top"/>
    </w:pPr>
    <w:rPr>
      <w:color w:val="000000"/>
      <w:sz w:val="24"/>
      <w:szCs w:val="24"/>
    </w:rPr>
  </w:style>
  <w:style w:type="paragraph" w:customStyle="1" w:styleId="32">
    <w:name w:val="xl71"/>
    <w:basedOn w:val="1"/>
    <w:uiPriority w:val="0"/>
    <w:pPr>
      <w:pBdr>
        <w:top w:val="single" w:color="B3AC86" w:sz="4" w:space="0"/>
        <w:left w:val="single" w:color="B3AC86" w:sz="4" w:space="0"/>
        <w:bottom w:val="single" w:color="B3AC86" w:sz="4" w:space="0"/>
        <w:right w:val="single" w:color="B3AC86" w:sz="4" w:space="0"/>
      </w:pBdr>
      <w:shd w:val="clear" w:color="000000" w:fill="FFFFFF"/>
      <w:spacing w:before="100" w:beforeAutospacing="1" w:after="100" w:afterAutospacing="1"/>
      <w:textAlignment w:val="top"/>
    </w:pPr>
    <w:rPr>
      <w:color w:val="000000"/>
      <w:sz w:val="24"/>
      <w:szCs w:val="24"/>
    </w:rPr>
  </w:style>
  <w:style w:type="paragraph" w:customStyle="1" w:styleId="33">
    <w:name w:val="xl72"/>
    <w:basedOn w:val="1"/>
    <w:uiPriority w:val="0"/>
    <w:pPr>
      <w:pBdr>
        <w:top w:val="single" w:color="B3AC86" w:sz="4" w:space="0"/>
        <w:left w:val="single" w:color="B3AC86" w:sz="4" w:space="0"/>
        <w:bottom w:val="single" w:color="B3AC86" w:sz="4" w:space="0"/>
        <w:right w:val="single" w:color="B3AC86" w:sz="4" w:space="0"/>
      </w:pBdr>
      <w:shd w:val="clear" w:color="000000" w:fill="FFFFFF"/>
      <w:spacing w:before="100" w:beforeAutospacing="1" w:after="100" w:afterAutospacing="1"/>
      <w:jc w:val="center"/>
      <w:textAlignment w:val="top"/>
    </w:pPr>
    <w:rPr>
      <w:color w:val="000000"/>
      <w:sz w:val="24"/>
      <w:szCs w:val="24"/>
    </w:rPr>
  </w:style>
  <w:style w:type="paragraph" w:customStyle="1" w:styleId="34">
    <w:name w:val="xl73"/>
    <w:basedOn w:val="1"/>
    <w:uiPriority w:val="0"/>
    <w:pPr>
      <w:pBdr>
        <w:top w:val="single" w:color="B3AC86" w:sz="4" w:space="0"/>
        <w:left w:val="single" w:color="B3AC86" w:sz="4" w:space="14"/>
        <w:bottom w:val="single" w:color="B3AC86" w:sz="4" w:space="0"/>
        <w:right w:val="single" w:color="B3AC86" w:sz="4" w:space="0"/>
      </w:pBdr>
      <w:shd w:val="clear" w:color="000000" w:fill="FFFFFF"/>
      <w:spacing w:before="100" w:beforeAutospacing="1" w:after="100" w:afterAutospacing="1"/>
      <w:ind w:firstLine="200" w:firstLineChars="200"/>
      <w:textAlignment w:val="top"/>
    </w:pPr>
    <w:rPr>
      <w:color w:val="000000"/>
      <w:sz w:val="24"/>
      <w:szCs w:val="24"/>
    </w:rPr>
  </w:style>
  <w:style w:type="paragraph" w:customStyle="1" w:styleId="35">
    <w:name w:val="xl74"/>
    <w:basedOn w:val="1"/>
    <w:uiPriority w:val="0"/>
    <w:pPr>
      <w:pBdr>
        <w:top w:val="single" w:color="B3AC86" w:sz="4" w:space="0"/>
        <w:left w:val="single" w:color="B3AC86" w:sz="4" w:space="27"/>
        <w:bottom w:val="single" w:color="B3AC86" w:sz="4" w:space="0"/>
        <w:right w:val="single" w:color="B3AC86" w:sz="4" w:space="0"/>
      </w:pBdr>
      <w:shd w:val="clear" w:color="000000" w:fill="F8F2D8"/>
      <w:spacing w:before="100" w:beforeAutospacing="1" w:after="100" w:afterAutospacing="1"/>
      <w:ind w:firstLine="400" w:firstLineChars="400"/>
      <w:textAlignment w:val="top"/>
    </w:pPr>
    <w:rPr>
      <w:color w:val="000000"/>
      <w:sz w:val="24"/>
      <w:szCs w:val="24"/>
    </w:rPr>
  </w:style>
  <w:style w:type="paragraph" w:customStyle="1" w:styleId="36">
    <w:name w:val="xl75"/>
    <w:basedOn w:val="1"/>
    <w:uiPriority w:val="0"/>
    <w:pPr>
      <w:pBdr>
        <w:top w:val="single" w:color="B3AC86" w:sz="4" w:space="0"/>
        <w:left w:val="single" w:color="B3AC86" w:sz="4" w:space="31"/>
        <w:bottom w:val="single" w:color="B3AC86" w:sz="4" w:space="0"/>
        <w:right w:val="single" w:color="B3AC86" w:sz="4" w:space="0"/>
      </w:pBdr>
      <w:shd w:val="clear" w:color="000000" w:fill="FFFFFF"/>
      <w:spacing w:before="100" w:beforeAutospacing="1" w:after="100" w:afterAutospacing="1"/>
      <w:ind w:firstLine="600" w:firstLineChars="600"/>
      <w:textAlignment w:val="top"/>
    </w:pPr>
    <w:rPr>
      <w:color w:val="000000"/>
      <w:sz w:val="24"/>
      <w:szCs w:val="24"/>
    </w:rPr>
  </w:style>
  <w:style w:type="paragraph" w:customStyle="1" w:styleId="37">
    <w:name w:val="xl76"/>
    <w:basedOn w:val="1"/>
    <w:uiPriority w:val="0"/>
    <w:pPr>
      <w:pBdr>
        <w:top w:val="single" w:color="B3AC86" w:sz="4" w:space="0"/>
        <w:left w:val="single" w:color="B3AC86" w:sz="4" w:space="27"/>
        <w:bottom w:val="single" w:color="B3AC86" w:sz="4" w:space="0"/>
        <w:right w:val="single" w:color="B3AC86" w:sz="4" w:space="0"/>
      </w:pBdr>
      <w:shd w:val="clear" w:color="000000" w:fill="C0C0C0"/>
      <w:spacing w:before="100" w:beforeAutospacing="1" w:after="100" w:afterAutospacing="1"/>
      <w:ind w:firstLine="400" w:firstLineChars="400"/>
      <w:textAlignment w:val="top"/>
    </w:pPr>
    <w:rPr>
      <w:color w:val="000000"/>
      <w:sz w:val="24"/>
      <w:szCs w:val="24"/>
    </w:rPr>
  </w:style>
  <w:style w:type="paragraph" w:customStyle="1" w:styleId="38">
    <w:name w:val="xl77"/>
    <w:basedOn w:val="1"/>
    <w:uiPriority w:val="0"/>
    <w:pPr>
      <w:pBdr>
        <w:top w:val="single" w:color="B3AC86" w:sz="4" w:space="0"/>
        <w:left w:val="single" w:color="B3AC86" w:sz="4" w:space="0"/>
        <w:bottom w:val="single" w:color="B3AC86" w:sz="4" w:space="0"/>
        <w:right w:val="single" w:color="B3AC86" w:sz="4" w:space="0"/>
      </w:pBdr>
      <w:shd w:val="clear" w:color="000000" w:fill="C0C0C0"/>
      <w:spacing w:before="100" w:beforeAutospacing="1" w:after="100" w:afterAutospacing="1"/>
      <w:textAlignment w:val="top"/>
    </w:pPr>
    <w:rPr>
      <w:color w:val="000000"/>
      <w:sz w:val="24"/>
      <w:szCs w:val="24"/>
    </w:rPr>
  </w:style>
  <w:style w:type="paragraph" w:customStyle="1" w:styleId="39">
    <w:name w:val="xl78"/>
    <w:basedOn w:val="1"/>
    <w:uiPriority w:val="0"/>
    <w:pPr>
      <w:pBdr>
        <w:top w:val="single" w:color="B3AC86" w:sz="4" w:space="0"/>
        <w:left w:val="single" w:color="B3AC86" w:sz="4" w:space="0"/>
        <w:bottom w:val="single" w:color="B3AC86" w:sz="4" w:space="0"/>
        <w:right w:val="single" w:color="B3AC86" w:sz="4" w:space="0"/>
      </w:pBdr>
      <w:shd w:val="clear" w:color="000000" w:fill="C0C0C0"/>
      <w:spacing w:before="100" w:beforeAutospacing="1" w:after="100" w:afterAutospacing="1"/>
      <w:jc w:val="center"/>
      <w:textAlignment w:val="top"/>
    </w:pPr>
    <w:rPr>
      <w:color w:val="000000"/>
      <w:sz w:val="24"/>
      <w:szCs w:val="24"/>
    </w:rPr>
  </w:style>
  <w:style w:type="paragraph" w:customStyle="1" w:styleId="40">
    <w:name w:val="xl79"/>
    <w:basedOn w:val="1"/>
    <w:uiPriority w:val="0"/>
    <w:pPr>
      <w:pBdr>
        <w:top w:val="single" w:color="B3AC86" w:sz="4" w:space="0"/>
        <w:left w:val="single" w:color="B3AC86" w:sz="4" w:space="14"/>
        <w:bottom w:val="single" w:color="B3AC86" w:sz="4" w:space="0"/>
        <w:right w:val="single" w:color="B3AC86" w:sz="4" w:space="0"/>
      </w:pBdr>
      <w:shd w:val="clear" w:color="000000" w:fill="C0C0C0"/>
      <w:spacing w:before="100" w:beforeAutospacing="1" w:after="100" w:afterAutospacing="1"/>
      <w:ind w:firstLine="200" w:firstLineChars="200"/>
      <w:textAlignment w:val="top"/>
    </w:pPr>
    <w:rPr>
      <w:color w:val="000000"/>
      <w:sz w:val="24"/>
      <w:szCs w:val="24"/>
    </w:rPr>
  </w:style>
  <w:style w:type="character" w:customStyle="1" w:styleId="41">
    <w:name w:val="Основной текст с отступом 2 Знак"/>
    <w:link w:val="13"/>
    <w:uiPriority w:val="0"/>
    <w:rPr>
      <w:sz w:val="28"/>
    </w:rPr>
  </w:style>
  <w:style w:type="paragraph" w:customStyle="1" w:styleId="42">
    <w:name w:val="Заголовок 11"/>
    <w:basedOn w:val="1"/>
    <w:qFormat/>
    <w:uiPriority w:val="1"/>
    <w:pPr>
      <w:widowControl w:val="0"/>
      <w:autoSpaceDE w:val="0"/>
      <w:autoSpaceDN w:val="0"/>
      <w:ind w:left="6952"/>
      <w:outlineLvl w:val="1"/>
    </w:pPr>
    <w:rPr>
      <w:b/>
      <w:bCs/>
      <w:sz w:val="24"/>
      <w:szCs w:val="24"/>
      <w:lang w:bidi="ru-RU"/>
    </w:rPr>
  </w:style>
  <w:style w:type="paragraph" w:styleId="43">
    <w:name w:val="List Paragraph"/>
    <w:basedOn w:val="1"/>
    <w:qFormat/>
    <w:uiPriority w:val="1"/>
    <w:pPr>
      <w:widowControl w:val="0"/>
      <w:autoSpaceDE w:val="0"/>
      <w:autoSpaceDN w:val="0"/>
      <w:ind w:left="1422" w:firstLine="851"/>
      <w:jc w:val="both"/>
    </w:pPr>
    <w:rPr>
      <w:sz w:val="22"/>
      <w:szCs w:val="22"/>
      <w:lang w:bidi="ru-RU"/>
    </w:rPr>
  </w:style>
  <w:style w:type="paragraph" w:customStyle="1" w:styleId="44">
    <w:name w:val="js_comments_listenhover"/>
    <w:basedOn w:val="1"/>
    <w:uiPriority w:val="0"/>
    <w:pPr>
      <w:spacing w:before="100" w:beforeAutospacing="1" w:after="100" w:afterAutospacing="1"/>
    </w:pPr>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Company>
  <Pages>32</Pages>
  <Words>23000</Words>
  <Characters>131105</Characters>
  <Lines>1092</Lines>
  <Paragraphs>307</Paragraphs>
  <TotalTime>6</TotalTime>
  <ScaleCrop>false</ScaleCrop>
  <LinksUpToDate>false</LinksUpToDate>
  <CharactersWithSpaces>153798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2023-04-19T11:04:00Z</dcterms:created>
  <dc:creator>User</dc:creator>
  <cp:lastModifiedBy>WPS_1768477931</cp:lastModifiedBy>
  <cp:lastPrinted>2023-06-21T12:20:00Z</cp:lastPrinted>
  <dcterms:modified xsi:type="dcterms:W3CDTF">2026-01-01T14:09:56Z</dcterms:modified>
  <dc:title>Приложение</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A4DFF06E9A664472BA7AF1909251764E_13</vt:lpwstr>
  </property>
</Properties>
</file>